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00" w:type="dxa"/>
        <w:jc w:val="center"/>
        <w:tblCellSpacing w:w="0" w:type="dxa"/>
        <w:tblInd w:w="390" w:type="dxa"/>
        <w:tblCellMar>
          <w:left w:w="0" w:type="dxa"/>
          <w:right w:w="0" w:type="dxa"/>
        </w:tblCellMar>
        <w:tblLook w:val="04A0" w:firstRow="1" w:lastRow="0" w:firstColumn="1" w:lastColumn="0" w:noHBand="0" w:noVBand="1"/>
      </w:tblPr>
      <w:tblGrid>
        <w:gridCol w:w="3726"/>
        <w:gridCol w:w="10074"/>
      </w:tblGrid>
      <w:tr w:rsidR="00431170" w:rsidRPr="00431170" w:rsidTr="00431170">
        <w:trPr>
          <w:tblCellSpacing w:w="0" w:type="dxa"/>
          <w:jc w:val="center"/>
        </w:trPr>
        <w:tc>
          <w:tcPr>
            <w:tcW w:w="3726" w:type="dxa"/>
            <w:tcBorders>
              <w:left w:val="single" w:sz="6" w:space="0" w:color="85B53D"/>
            </w:tcBorders>
            <w:tcMar>
              <w:top w:w="45" w:type="dxa"/>
              <w:left w:w="375" w:type="dxa"/>
              <w:bottom w:w="0" w:type="dxa"/>
              <w:right w:w="150" w:type="dxa"/>
            </w:tcMar>
            <w:hideMark/>
          </w:tcPr>
          <w:p w:rsidR="00431170" w:rsidRPr="00431170" w:rsidRDefault="00431170" w:rsidP="00431170">
            <w:pPr>
              <w:spacing w:after="0" w:line="240" w:lineRule="auto"/>
              <w:rPr>
                <w:rFonts w:ascii="Arial" w:eastAsia="Times New Roman" w:hAnsi="Arial" w:cs="Arial"/>
                <w:color w:val="313F4B"/>
                <w:sz w:val="18"/>
                <w:szCs w:val="18"/>
                <w:lang w:eastAsia="sv-SE"/>
              </w:rPr>
            </w:pPr>
            <w:r>
              <w:rPr>
                <w:rFonts w:ascii="Arial" w:eastAsia="Times New Roman" w:hAnsi="Arial" w:cs="Arial"/>
                <w:noProof/>
                <w:color w:val="313F4B"/>
                <w:sz w:val="18"/>
                <w:szCs w:val="18"/>
                <w:lang w:eastAsia="sv-SE"/>
              </w:rPr>
              <w:drawing>
                <wp:inline distT="0" distB="0" distL="0" distR="0" wp14:anchorId="190236D8" wp14:editId="04FEBDE3">
                  <wp:extent cx="114300" cy="114300"/>
                  <wp:effectExtent l="0" t="0" r="0" b="0"/>
                  <wp:docPr id="31" name="Bildobjekt 31" descr="https://mail5.100procent.com/WorldClient.dll?Session=UCJINIR&amp;View=Attachment&amp;Number=186&amp;CID=7BB7E97B1F704991AD9AE01D226057EA@BrittMar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5.100procent.com/WorldClient.dll?Session=UCJINIR&amp;View=Attachment&amp;Number=186&amp;CID=7BB7E97B1F704991AD9AE01D226057EA@BrittMard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74" w:type="dxa"/>
            <w:tcBorders>
              <w:right w:val="single" w:sz="6" w:space="0" w:color="85B53D"/>
            </w:tcBorders>
            <w:tcMar>
              <w:top w:w="0" w:type="dxa"/>
              <w:left w:w="0" w:type="dxa"/>
              <w:bottom w:w="225" w:type="dxa"/>
              <w:right w:w="0" w:type="dxa"/>
            </w:tcMar>
            <w:vAlign w:val="center"/>
            <w:hideMark/>
          </w:tcPr>
          <w:p w:rsidR="00431170" w:rsidRPr="00431170" w:rsidRDefault="00431170" w:rsidP="00431170">
            <w:pPr>
              <w:spacing w:after="0" w:line="240" w:lineRule="auto"/>
              <w:rPr>
                <w:rFonts w:ascii="Arial" w:eastAsia="Times New Roman" w:hAnsi="Arial" w:cs="Arial"/>
                <w:color w:val="313F4B"/>
                <w:sz w:val="18"/>
                <w:szCs w:val="18"/>
                <w:lang w:val="en-US" w:eastAsia="sv-SE"/>
              </w:rPr>
            </w:pPr>
            <w:hyperlink r:id="rId6" w:tgtFrame="_blank" w:history="1">
              <w:r w:rsidRPr="00431170">
                <w:rPr>
                  <w:rFonts w:ascii="Arial" w:eastAsia="Times New Roman" w:hAnsi="Arial" w:cs="Arial"/>
                  <w:b/>
                  <w:bCs/>
                  <w:color w:val="276096"/>
                  <w:sz w:val="21"/>
                  <w:szCs w:val="21"/>
                  <w:u w:val="single"/>
                  <w:lang w:val="en-US" w:eastAsia="sv-SE"/>
                </w:rPr>
                <w:t>DG Regional Policy support to projects</w:t>
              </w:r>
            </w:hyperlink>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7411"/>
              <w:gridCol w:w="2145"/>
            </w:tblGrid>
            <w:tr w:rsidR="00431170" w:rsidRPr="00431170">
              <w:trPr>
                <w:tblCellSpacing w:w="15" w:type="dxa"/>
              </w:trPr>
              <w:tc>
                <w:tcPr>
                  <w:tcW w:w="0" w:type="auto"/>
                  <w:vAlign w:val="center"/>
                  <w:hideMark/>
                </w:tcPr>
                <w:p w:rsidR="00431170" w:rsidRPr="00431170" w:rsidRDefault="00431170" w:rsidP="00431170">
                  <w:pPr>
                    <w:spacing w:before="60" w:after="60" w:line="240" w:lineRule="auto"/>
                    <w:jc w:val="both"/>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t xml:space="preserve">In order to continue to support and facilitate the implementation of the EU Strategy for the Baltic Sea Region, DG REGIO geographical units will propose initiatives involving the Convergence and Regional Competitiveness and Employment operational </w:t>
                  </w:r>
                  <w:proofErr w:type="spellStart"/>
                  <w:r w:rsidRPr="00431170">
                    <w:rPr>
                      <w:rFonts w:ascii="Arial" w:eastAsia="Times New Roman" w:hAnsi="Arial" w:cs="Arial"/>
                      <w:color w:val="313F4B"/>
                      <w:sz w:val="18"/>
                      <w:szCs w:val="18"/>
                      <w:lang w:val="en-US" w:eastAsia="sv-SE"/>
                    </w:rPr>
                    <w:t>programmes</w:t>
                  </w:r>
                  <w:proofErr w:type="spellEnd"/>
                  <w:r w:rsidRPr="00431170">
                    <w:rPr>
                      <w:rFonts w:ascii="Arial" w:eastAsia="Times New Roman" w:hAnsi="Arial" w:cs="Arial"/>
                      <w:color w:val="313F4B"/>
                      <w:sz w:val="18"/>
                      <w:szCs w:val="18"/>
                      <w:lang w:val="en-US" w:eastAsia="sv-SE"/>
                    </w:rPr>
                    <w:t xml:space="preserve">. The Commission's ambition is that these </w:t>
                  </w:r>
                  <w:proofErr w:type="spellStart"/>
                  <w:r w:rsidRPr="00431170">
                    <w:rPr>
                      <w:rFonts w:ascii="Arial" w:eastAsia="Times New Roman" w:hAnsi="Arial" w:cs="Arial"/>
                      <w:color w:val="313F4B"/>
                      <w:sz w:val="18"/>
                      <w:szCs w:val="18"/>
                      <w:lang w:val="en-US" w:eastAsia="sv-SE"/>
                    </w:rPr>
                    <w:t>programmes</w:t>
                  </w:r>
                  <w:proofErr w:type="spellEnd"/>
                  <w:r w:rsidRPr="00431170">
                    <w:rPr>
                      <w:rFonts w:ascii="Arial" w:eastAsia="Times New Roman" w:hAnsi="Arial" w:cs="Arial"/>
                      <w:color w:val="313F4B"/>
                      <w:sz w:val="18"/>
                      <w:szCs w:val="18"/>
                      <w:lang w:val="en-US" w:eastAsia="sv-SE"/>
                    </w:rPr>
                    <w:t xml:space="preserve"> contribute to the achievement of EUSBSR objectives by providing the necessary financial resources independently of the individual, parallel or joint character of good quality projects. DG REGIO will shortly send a detailed proposal to the Managing Authorities of the </w:t>
                  </w:r>
                  <w:proofErr w:type="spellStart"/>
                  <w:r w:rsidRPr="00431170">
                    <w:rPr>
                      <w:rFonts w:ascii="Arial" w:eastAsia="Times New Roman" w:hAnsi="Arial" w:cs="Arial"/>
                      <w:color w:val="313F4B"/>
                      <w:sz w:val="18"/>
                      <w:szCs w:val="18"/>
                      <w:lang w:val="en-US" w:eastAsia="sv-SE"/>
                    </w:rPr>
                    <w:t>programmes</w:t>
                  </w:r>
                  <w:proofErr w:type="spellEnd"/>
                  <w:r w:rsidRPr="00431170">
                    <w:rPr>
                      <w:rFonts w:ascii="Arial" w:eastAsia="Times New Roman" w:hAnsi="Arial" w:cs="Arial"/>
                      <w:color w:val="313F4B"/>
                      <w:sz w:val="18"/>
                      <w:szCs w:val="18"/>
                      <w:lang w:val="en-US" w:eastAsia="sv-SE"/>
                    </w:rPr>
                    <w:t xml:space="preserve"> and will present its ideas in a broader context at the meeting in Gdansk on 16-17 February 2011.</w:t>
                  </w:r>
                </w:p>
              </w:tc>
              <w:tc>
                <w:tcPr>
                  <w:tcW w:w="2100" w:type="dxa"/>
                  <w:vAlign w:val="center"/>
                  <w:hideMark/>
                </w:tcPr>
                <w:p w:rsidR="00431170" w:rsidRPr="00431170" w:rsidRDefault="00431170" w:rsidP="00431170">
                  <w:pPr>
                    <w:spacing w:after="0" w:line="240" w:lineRule="auto"/>
                    <w:jc w:val="right"/>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t> </w:t>
                  </w:r>
                </w:p>
              </w:tc>
            </w:tr>
          </w:tbl>
          <w:p w:rsidR="00431170" w:rsidRPr="00431170" w:rsidRDefault="00431170" w:rsidP="00431170">
            <w:pPr>
              <w:spacing w:after="0" w:line="240" w:lineRule="auto"/>
              <w:rPr>
                <w:rFonts w:ascii="Arial" w:eastAsia="Times New Roman" w:hAnsi="Arial" w:cs="Arial"/>
                <w:color w:val="313F4B"/>
                <w:sz w:val="18"/>
                <w:szCs w:val="18"/>
                <w:lang w:val="en-US" w:eastAsia="sv-SE"/>
              </w:rPr>
            </w:pPr>
          </w:p>
        </w:tc>
      </w:tr>
      <w:tr w:rsidR="00431170" w:rsidRPr="00431170" w:rsidTr="00431170">
        <w:trPr>
          <w:tblCellSpacing w:w="0" w:type="dxa"/>
          <w:jc w:val="center"/>
        </w:trPr>
        <w:tc>
          <w:tcPr>
            <w:tcW w:w="3726" w:type="dxa"/>
            <w:tcBorders>
              <w:left w:val="single" w:sz="6" w:space="0" w:color="85B53D"/>
            </w:tcBorders>
            <w:tcMar>
              <w:top w:w="45" w:type="dxa"/>
              <w:left w:w="375" w:type="dxa"/>
              <w:bottom w:w="0" w:type="dxa"/>
              <w:right w:w="150" w:type="dxa"/>
            </w:tcMar>
            <w:hideMark/>
          </w:tcPr>
          <w:p w:rsidR="00431170" w:rsidRPr="00431170" w:rsidRDefault="00431170" w:rsidP="00431170">
            <w:pPr>
              <w:spacing w:after="0" w:line="240" w:lineRule="auto"/>
              <w:rPr>
                <w:rFonts w:ascii="Arial" w:eastAsia="Times New Roman" w:hAnsi="Arial" w:cs="Arial"/>
                <w:color w:val="313F4B"/>
                <w:sz w:val="18"/>
                <w:szCs w:val="18"/>
                <w:lang w:eastAsia="sv-SE"/>
              </w:rPr>
            </w:pPr>
            <w:r>
              <w:rPr>
                <w:rFonts w:ascii="Arial" w:eastAsia="Times New Roman" w:hAnsi="Arial" w:cs="Arial"/>
                <w:noProof/>
                <w:color w:val="313F4B"/>
                <w:sz w:val="18"/>
                <w:szCs w:val="18"/>
                <w:lang w:eastAsia="sv-SE"/>
              </w:rPr>
              <w:drawing>
                <wp:inline distT="0" distB="0" distL="0" distR="0" wp14:anchorId="3BC75088" wp14:editId="68694B8B">
                  <wp:extent cx="114300" cy="114300"/>
                  <wp:effectExtent l="0" t="0" r="0" b="0"/>
                  <wp:docPr id="30" name="Bildobjekt 30" descr="https://mail5.100procent.com/WorldClient.dll?Session=UCJINIR&amp;View=Attachment&amp;Number=186&amp;CID=7BB7E97B1F704991AD9AE01D226057EA@BrittMar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5.100procent.com/WorldClient.dll?Session=UCJINIR&amp;View=Attachment&amp;Number=186&amp;CID=7BB7E97B1F704991AD9AE01D226057EA@BrittMard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74" w:type="dxa"/>
            <w:tcBorders>
              <w:right w:val="single" w:sz="6" w:space="0" w:color="85B53D"/>
            </w:tcBorders>
            <w:tcMar>
              <w:top w:w="0" w:type="dxa"/>
              <w:left w:w="0" w:type="dxa"/>
              <w:bottom w:w="225" w:type="dxa"/>
              <w:right w:w="0" w:type="dxa"/>
            </w:tcMar>
            <w:vAlign w:val="center"/>
            <w:hideMark/>
          </w:tcPr>
          <w:p w:rsidR="00431170" w:rsidRPr="00431170" w:rsidRDefault="00431170" w:rsidP="00431170">
            <w:pPr>
              <w:spacing w:after="0" w:line="240" w:lineRule="auto"/>
              <w:rPr>
                <w:rFonts w:ascii="Arial" w:eastAsia="Times New Roman" w:hAnsi="Arial" w:cs="Arial"/>
                <w:color w:val="313F4B"/>
                <w:sz w:val="18"/>
                <w:szCs w:val="18"/>
                <w:lang w:val="en-US" w:eastAsia="sv-SE"/>
              </w:rPr>
            </w:pPr>
            <w:hyperlink r:id="rId7" w:tgtFrame="_blank" w:history="1">
              <w:r w:rsidRPr="00431170">
                <w:rPr>
                  <w:rFonts w:ascii="Arial" w:eastAsia="Times New Roman" w:hAnsi="Arial" w:cs="Arial"/>
                  <w:b/>
                  <w:bCs/>
                  <w:color w:val="276096"/>
                  <w:sz w:val="21"/>
                  <w:szCs w:val="21"/>
                  <w:u w:val="single"/>
                  <w:lang w:val="en-US" w:eastAsia="sv-SE"/>
                </w:rPr>
                <w:t xml:space="preserve">BONUS, the joint Baltic Sea research and development </w:t>
              </w:r>
              <w:proofErr w:type="spellStart"/>
              <w:r w:rsidRPr="00431170">
                <w:rPr>
                  <w:rFonts w:ascii="Arial" w:eastAsia="Times New Roman" w:hAnsi="Arial" w:cs="Arial"/>
                  <w:b/>
                  <w:bCs/>
                  <w:color w:val="276096"/>
                  <w:sz w:val="21"/>
                  <w:szCs w:val="21"/>
                  <w:u w:val="single"/>
                  <w:lang w:val="en-US" w:eastAsia="sv-SE"/>
                </w:rPr>
                <w:t>programme</w:t>
              </w:r>
              <w:proofErr w:type="spellEnd"/>
            </w:hyperlink>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7411"/>
              <w:gridCol w:w="2145"/>
            </w:tblGrid>
            <w:tr w:rsidR="00431170" w:rsidRPr="00431170">
              <w:trPr>
                <w:tblCellSpacing w:w="15" w:type="dxa"/>
              </w:trPr>
              <w:tc>
                <w:tcPr>
                  <w:tcW w:w="0" w:type="auto"/>
                  <w:vAlign w:val="center"/>
                  <w:hideMark/>
                </w:tcPr>
                <w:p w:rsidR="00431170" w:rsidRPr="00431170" w:rsidRDefault="00431170" w:rsidP="00431170">
                  <w:pPr>
                    <w:spacing w:before="60" w:after="60" w:line="240" w:lineRule="auto"/>
                    <w:jc w:val="both"/>
                    <w:rPr>
                      <w:rFonts w:ascii="Arial" w:eastAsia="Times New Roman" w:hAnsi="Arial" w:cs="Arial"/>
                      <w:color w:val="313F4B"/>
                      <w:sz w:val="18"/>
                      <w:szCs w:val="18"/>
                      <w:lang w:val="en-US" w:eastAsia="sv-SE"/>
                    </w:rPr>
                  </w:pPr>
                  <w:r>
                    <w:rPr>
                      <w:rFonts w:ascii="Arial" w:eastAsia="Times New Roman" w:hAnsi="Arial" w:cs="Arial"/>
                      <w:noProof/>
                      <w:color w:val="313F4B"/>
                      <w:sz w:val="18"/>
                      <w:szCs w:val="18"/>
                      <w:lang w:eastAsia="sv-SE"/>
                    </w:rPr>
                    <w:drawing>
                      <wp:anchor distT="28575" distB="28575" distL="142875" distR="142875" simplePos="0" relativeHeight="251658240" behindDoc="0" locked="0" layoutInCell="1" allowOverlap="0" wp14:anchorId="2A84010B" wp14:editId="2528CBE7">
                        <wp:simplePos x="0" y="0"/>
                        <wp:positionH relativeFrom="column">
                          <wp:align>left</wp:align>
                        </wp:positionH>
                        <wp:positionV relativeFrom="line">
                          <wp:posOffset>0</wp:posOffset>
                        </wp:positionV>
                        <wp:extent cx="2171700" cy="609600"/>
                        <wp:effectExtent l="0" t="0" r="0" b="0"/>
                        <wp:wrapSquare wrapText="bothSides"/>
                        <wp:docPr id="35" name="Bildobjekt 35" descr="https://mail5.100procent.com/WorldClient.dll?Session=UCJINIR&amp;View=Attachment&amp;Number=186&amp;CID=050E583BD166422CA1A8CA2A6FCA5B82@BrittMar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5.100procent.com/WorldClient.dll?Session=UCJINIR&amp;View=Attachment&amp;Number=186&amp;CID=050E583BD166422CA1A8CA2A6FCA5B82@BrittMarda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170">
                    <w:rPr>
                      <w:rFonts w:ascii="Arial" w:eastAsia="Times New Roman" w:hAnsi="Arial" w:cs="Arial"/>
                      <w:color w:val="313F4B"/>
                      <w:sz w:val="18"/>
                      <w:szCs w:val="18"/>
                      <w:lang w:val="en-US" w:eastAsia="sv-SE"/>
                    </w:rPr>
                    <w:t xml:space="preserve">The EUSBRS and BONUS, the joint Baltic Sea research and development </w:t>
                  </w:r>
                  <w:proofErr w:type="spellStart"/>
                  <w:r w:rsidRPr="00431170">
                    <w:rPr>
                      <w:rFonts w:ascii="Arial" w:eastAsia="Times New Roman" w:hAnsi="Arial" w:cs="Arial"/>
                      <w:color w:val="313F4B"/>
                      <w:sz w:val="18"/>
                      <w:szCs w:val="18"/>
                      <w:lang w:val="en-US" w:eastAsia="sv-SE"/>
                    </w:rPr>
                    <w:t>programme</w:t>
                  </w:r>
                  <w:proofErr w:type="spellEnd"/>
                  <w:r w:rsidRPr="00431170">
                    <w:rPr>
                      <w:rFonts w:ascii="Arial" w:eastAsia="Times New Roman" w:hAnsi="Arial" w:cs="Arial"/>
                      <w:color w:val="313F4B"/>
                      <w:sz w:val="18"/>
                      <w:szCs w:val="18"/>
                      <w:lang w:val="en-US" w:eastAsia="sv-SE"/>
                    </w:rPr>
                    <w:t xml:space="preserve"> worth EUR 100 million for the years 2010-2016, have initiated collaboration related to their common aim of securing a better future for the Baltic Sea Region. For instance, eight of the currently funded BONUS+ projects are delivering against both the set BONUS objectives as well as the priorities of the EUSBSR directly. Plans are already in place to convene a BONUS stakeholder event in conjunction with the annual EUSBSR conference taking place in Gdansk, Poland in late autumn 2011. It will introduce results of the BONUS+ projects finishing next year and demonstrate how these reflect the needs of the wider policy and socio-economic landscape. Matching of BONUS projects with EUSBSR priorities is likely to become further strengthened in the future through the development of the BONUS Strategic Research Agenda for the years 2012-2016. This will set the priorities for the future calls for proposals that will be opening from the beginning of 2012.</w:t>
                  </w:r>
                </w:p>
                <w:p w:rsidR="00431170" w:rsidRPr="00431170" w:rsidRDefault="00431170" w:rsidP="00431170">
                  <w:pPr>
                    <w:spacing w:before="60" w:after="60" w:line="240" w:lineRule="auto"/>
                    <w:jc w:val="both"/>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t xml:space="preserve">For more information about BONUS and BONUS+ projects, visit the website at "http://www.bonusportal.org/" or contact </w:t>
                  </w:r>
                  <w:proofErr w:type="spellStart"/>
                  <w:r w:rsidRPr="00431170">
                    <w:rPr>
                      <w:rFonts w:ascii="Arial" w:eastAsia="Times New Roman" w:hAnsi="Arial" w:cs="Arial"/>
                      <w:color w:val="313F4B"/>
                      <w:sz w:val="18"/>
                      <w:szCs w:val="18"/>
                      <w:lang w:val="en-US" w:eastAsia="sv-SE"/>
                    </w:rPr>
                    <w:t>Maija</w:t>
                  </w:r>
                  <w:proofErr w:type="spellEnd"/>
                  <w:r w:rsidRPr="00431170">
                    <w:rPr>
                      <w:rFonts w:ascii="Arial" w:eastAsia="Times New Roman" w:hAnsi="Arial" w:cs="Arial"/>
                      <w:color w:val="313F4B"/>
                      <w:sz w:val="18"/>
                      <w:szCs w:val="18"/>
                      <w:lang w:val="en-US" w:eastAsia="sv-SE"/>
                    </w:rPr>
                    <w:t xml:space="preserve"> </w:t>
                  </w:r>
                  <w:proofErr w:type="spellStart"/>
                  <w:r w:rsidRPr="00431170">
                    <w:rPr>
                      <w:rFonts w:ascii="Arial" w:eastAsia="Times New Roman" w:hAnsi="Arial" w:cs="Arial"/>
                      <w:color w:val="313F4B"/>
                      <w:sz w:val="18"/>
                      <w:szCs w:val="18"/>
                      <w:lang w:val="en-US" w:eastAsia="sv-SE"/>
                    </w:rPr>
                    <w:t>Sirola</w:t>
                  </w:r>
                  <w:proofErr w:type="spellEnd"/>
                  <w:r w:rsidRPr="00431170">
                    <w:rPr>
                      <w:rFonts w:ascii="Arial" w:eastAsia="Times New Roman" w:hAnsi="Arial" w:cs="Arial"/>
                      <w:color w:val="313F4B"/>
                      <w:sz w:val="18"/>
                      <w:szCs w:val="18"/>
                      <w:lang w:val="en-US" w:eastAsia="sv-SE"/>
                    </w:rPr>
                    <w:t>, Communications Manager, BONUS, by email maija.sirola@bonuseeig.fi or phone +358 (0)40 352 0076.</w:t>
                  </w:r>
                </w:p>
              </w:tc>
              <w:tc>
                <w:tcPr>
                  <w:tcW w:w="2100" w:type="dxa"/>
                  <w:vAlign w:val="center"/>
                  <w:hideMark/>
                </w:tcPr>
                <w:p w:rsidR="00431170" w:rsidRPr="00431170" w:rsidRDefault="00431170" w:rsidP="00431170">
                  <w:pPr>
                    <w:spacing w:after="0" w:line="240" w:lineRule="auto"/>
                    <w:jc w:val="right"/>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t> </w:t>
                  </w:r>
                </w:p>
              </w:tc>
            </w:tr>
          </w:tbl>
          <w:p w:rsidR="00431170" w:rsidRPr="00431170" w:rsidRDefault="00431170" w:rsidP="00431170">
            <w:pPr>
              <w:spacing w:after="0" w:line="240" w:lineRule="auto"/>
              <w:rPr>
                <w:rFonts w:ascii="Arial" w:eastAsia="Times New Roman" w:hAnsi="Arial" w:cs="Arial"/>
                <w:color w:val="313F4B"/>
                <w:sz w:val="18"/>
                <w:szCs w:val="18"/>
                <w:lang w:val="en-US" w:eastAsia="sv-SE"/>
              </w:rPr>
            </w:pPr>
          </w:p>
        </w:tc>
      </w:tr>
      <w:tr w:rsidR="00431170" w:rsidRPr="00431170" w:rsidTr="00431170">
        <w:trPr>
          <w:tblCellSpacing w:w="0" w:type="dxa"/>
          <w:jc w:val="center"/>
        </w:trPr>
        <w:tc>
          <w:tcPr>
            <w:tcW w:w="3726" w:type="dxa"/>
            <w:tcBorders>
              <w:left w:val="single" w:sz="6" w:space="0" w:color="85B53D"/>
            </w:tcBorders>
            <w:tcMar>
              <w:top w:w="45" w:type="dxa"/>
              <w:left w:w="375" w:type="dxa"/>
              <w:bottom w:w="0" w:type="dxa"/>
              <w:right w:w="150" w:type="dxa"/>
            </w:tcMar>
            <w:hideMark/>
          </w:tcPr>
          <w:p w:rsidR="00431170" w:rsidRPr="00431170" w:rsidRDefault="00431170" w:rsidP="00431170">
            <w:pPr>
              <w:spacing w:after="0" w:line="240" w:lineRule="auto"/>
              <w:rPr>
                <w:rFonts w:ascii="Arial" w:eastAsia="Times New Roman" w:hAnsi="Arial" w:cs="Arial"/>
                <w:color w:val="313F4B"/>
                <w:sz w:val="18"/>
                <w:szCs w:val="18"/>
                <w:lang w:eastAsia="sv-SE"/>
              </w:rPr>
            </w:pPr>
            <w:r>
              <w:rPr>
                <w:rFonts w:ascii="Arial" w:eastAsia="Times New Roman" w:hAnsi="Arial" w:cs="Arial"/>
                <w:noProof/>
                <w:color w:val="313F4B"/>
                <w:sz w:val="18"/>
                <w:szCs w:val="18"/>
                <w:lang w:eastAsia="sv-SE"/>
              </w:rPr>
              <w:drawing>
                <wp:inline distT="0" distB="0" distL="0" distR="0" wp14:anchorId="29232CA5" wp14:editId="4574739B">
                  <wp:extent cx="114300" cy="114300"/>
                  <wp:effectExtent l="0" t="0" r="0" b="0"/>
                  <wp:docPr id="29" name="Bildobjekt 29" descr="https://mail5.100procent.com/WorldClient.dll?Session=UCJINIR&amp;View=Attachment&amp;Number=186&amp;CID=7BB7E97B1F704991AD9AE01D226057EA@BrittMar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5.100procent.com/WorldClient.dll?Session=UCJINIR&amp;View=Attachment&amp;Number=186&amp;CID=7BB7E97B1F704991AD9AE01D226057EA@BrittMard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74" w:type="dxa"/>
            <w:tcBorders>
              <w:right w:val="single" w:sz="6" w:space="0" w:color="85B53D"/>
            </w:tcBorders>
            <w:tcMar>
              <w:top w:w="0" w:type="dxa"/>
              <w:left w:w="0" w:type="dxa"/>
              <w:bottom w:w="225" w:type="dxa"/>
              <w:right w:w="0" w:type="dxa"/>
            </w:tcMar>
            <w:vAlign w:val="center"/>
            <w:hideMark/>
          </w:tcPr>
          <w:p w:rsidR="00431170" w:rsidRPr="00431170" w:rsidRDefault="00431170" w:rsidP="00431170">
            <w:pPr>
              <w:spacing w:after="0" w:line="240" w:lineRule="auto"/>
              <w:rPr>
                <w:rFonts w:ascii="Arial" w:eastAsia="Times New Roman" w:hAnsi="Arial" w:cs="Arial"/>
                <w:color w:val="313F4B"/>
                <w:sz w:val="18"/>
                <w:szCs w:val="18"/>
                <w:lang w:val="en-US" w:eastAsia="sv-SE"/>
              </w:rPr>
            </w:pPr>
            <w:hyperlink r:id="rId9" w:tgtFrame="_blank" w:history="1">
              <w:r w:rsidRPr="00431170">
                <w:rPr>
                  <w:rFonts w:ascii="Arial" w:eastAsia="Times New Roman" w:hAnsi="Arial" w:cs="Arial"/>
                  <w:b/>
                  <w:bCs/>
                  <w:color w:val="276096"/>
                  <w:sz w:val="21"/>
                  <w:szCs w:val="21"/>
                  <w:u w:val="single"/>
                  <w:lang w:val="en-US" w:eastAsia="sv-SE"/>
                </w:rPr>
                <w:t xml:space="preserve">4th call for projects of the Baltic Sea Region </w:t>
              </w:r>
              <w:proofErr w:type="spellStart"/>
              <w:r w:rsidRPr="00431170">
                <w:rPr>
                  <w:rFonts w:ascii="Arial" w:eastAsia="Times New Roman" w:hAnsi="Arial" w:cs="Arial"/>
                  <w:b/>
                  <w:bCs/>
                  <w:color w:val="276096"/>
                  <w:sz w:val="21"/>
                  <w:szCs w:val="21"/>
                  <w:u w:val="single"/>
                  <w:lang w:val="en-US" w:eastAsia="sv-SE"/>
                </w:rPr>
                <w:t>Programme</w:t>
              </w:r>
              <w:proofErr w:type="spellEnd"/>
            </w:hyperlink>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7411"/>
              <w:gridCol w:w="2145"/>
            </w:tblGrid>
            <w:tr w:rsidR="00431170" w:rsidRPr="00431170">
              <w:trPr>
                <w:tblCellSpacing w:w="15" w:type="dxa"/>
              </w:trPr>
              <w:tc>
                <w:tcPr>
                  <w:tcW w:w="0" w:type="auto"/>
                  <w:vAlign w:val="center"/>
                  <w:hideMark/>
                </w:tcPr>
                <w:p w:rsidR="00431170" w:rsidRPr="00431170" w:rsidRDefault="00431170" w:rsidP="00431170">
                  <w:pPr>
                    <w:spacing w:before="60" w:after="60" w:line="240" w:lineRule="auto"/>
                    <w:jc w:val="both"/>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t>The fourth (and probably last) call for project applications is open from</w:t>
                  </w:r>
                  <w:r w:rsidRPr="00431170">
                    <w:rPr>
                      <w:rFonts w:ascii="Arial" w:eastAsia="Times New Roman" w:hAnsi="Arial" w:cs="Arial"/>
                      <w:b/>
                      <w:bCs/>
                      <w:color w:val="313F4B"/>
                      <w:sz w:val="18"/>
                      <w:szCs w:val="18"/>
                      <w:lang w:val="en-US" w:eastAsia="sv-SE"/>
                    </w:rPr>
                    <w:t> </w:t>
                  </w:r>
                  <w:r w:rsidRPr="00431170">
                    <w:rPr>
                      <w:rFonts w:ascii="Arial" w:eastAsia="Times New Roman" w:hAnsi="Arial" w:cs="Arial"/>
                      <w:color w:val="313F4B"/>
                      <w:sz w:val="18"/>
                      <w:szCs w:val="18"/>
                      <w:lang w:val="en-US" w:eastAsia="sv-SE"/>
                    </w:rPr>
                    <w:t>1 December 2010 till 31 March 2011. The Monitoring Committee decided to limit applications to EUSBSR flagship projects and to specific topics - please check the announcement note for details.</w:t>
                  </w:r>
                </w:p>
              </w:tc>
              <w:tc>
                <w:tcPr>
                  <w:tcW w:w="2100" w:type="dxa"/>
                  <w:vAlign w:val="center"/>
                  <w:hideMark/>
                </w:tcPr>
                <w:p w:rsidR="00431170" w:rsidRPr="00431170" w:rsidRDefault="00431170" w:rsidP="00431170">
                  <w:pPr>
                    <w:spacing w:after="0" w:line="240" w:lineRule="auto"/>
                    <w:jc w:val="right"/>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t> </w:t>
                  </w:r>
                </w:p>
              </w:tc>
            </w:tr>
          </w:tbl>
          <w:p w:rsidR="00431170" w:rsidRPr="00431170" w:rsidRDefault="00431170" w:rsidP="00431170">
            <w:pPr>
              <w:spacing w:after="0" w:line="240" w:lineRule="auto"/>
              <w:rPr>
                <w:rFonts w:ascii="Arial" w:eastAsia="Times New Roman" w:hAnsi="Arial" w:cs="Arial"/>
                <w:color w:val="313F4B"/>
                <w:sz w:val="18"/>
                <w:szCs w:val="18"/>
                <w:lang w:val="en-US" w:eastAsia="sv-SE"/>
              </w:rPr>
            </w:pPr>
          </w:p>
        </w:tc>
      </w:tr>
      <w:tr w:rsidR="00431170" w:rsidRPr="00431170" w:rsidTr="00431170">
        <w:trPr>
          <w:tblCellSpacing w:w="0" w:type="dxa"/>
          <w:jc w:val="center"/>
        </w:trPr>
        <w:tc>
          <w:tcPr>
            <w:tcW w:w="3726" w:type="dxa"/>
            <w:tcBorders>
              <w:left w:val="single" w:sz="6" w:space="0" w:color="85B53D"/>
            </w:tcBorders>
            <w:tcMar>
              <w:top w:w="45" w:type="dxa"/>
              <w:left w:w="375" w:type="dxa"/>
              <w:bottom w:w="0" w:type="dxa"/>
              <w:right w:w="150" w:type="dxa"/>
            </w:tcMar>
            <w:hideMark/>
          </w:tcPr>
          <w:p w:rsidR="00431170" w:rsidRPr="00431170" w:rsidRDefault="00431170" w:rsidP="00431170">
            <w:pPr>
              <w:spacing w:after="0" w:line="240" w:lineRule="auto"/>
              <w:rPr>
                <w:rFonts w:ascii="Arial" w:eastAsia="Times New Roman" w:hAnsi="Arial" w:cs="Arial"/>
                <w:color w:val="313F4B"/>
                <w:sz w:val="18"/>
                <w:szCs w:val="18"/>
                <w:lang w:eastAsia="sv-SE"/>
              </w:rPr>
            </w:pPr>
            <w:r>
              <w:rPr>
                <w:rFonts w:ascii="Arial" w:eastAsia="Times New Roman" w:hAnsi="Arial" w:cs="Arial"/>
                <w:noProof/>
                <w:color w:val="313F4B"/>
                <w:sz w:val="18"/>
                <w:szCs w:val="18"/>
                <w:lang w:eastAsia="sv-SE"/>
              </w:rPr>
              <w:drawing>
                <wp:inline distT="0" distB="0" distL="0" distR="0" wp14:anchorId="1F83EDF5" wp14:editId="234C9205">
                  <wp:extent cx="114300" cy="114300"/>
                  <wp:effectExtent l="0" t="0" r="0" b="0"/>
                  <wp:docPr id="28" name="Bildobjekt 28" descr="https://mail5.100procent.com/WorldClient.dll?Session=UCJINIR&amp;View=Attachment&amp;Number=186&amp;CID=7BB7E97B1F704991AD9AE01D226057EA@BrittMar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5.100procent.com/WorldClient.dll?Session=UCJINIR&amp;View=Attachment&amp;Number=186&amp;CID=7BB7E97B1F704991AD9AE01D226057EA@BrittMard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74" w:type="dxa"/>
            <w:tcBorders>
              <w:right w:val="single" w:sz="6" w:space="0" w:color="85B53D"/>
            </w:tcBorders>
            <w:tcMar>
              <w:top w:w="0" w:type="dxa"/>
              <w:left w:w="0" w:type="dxa"/>
              <w:bottom w:w="225" w:type="dxa"/>
              <w:right w:w="0" w:type="dxa"/>
            </w:tcMar>
            <w:vAlign w:val="center"/>
            <w:hideMark/>
          </w:tcPr>
          <w:p w:rsidR="00431170" w:rsidRPr="00431170" w:rsidRDefault="00431170" w:rsidP="00431170">
            <w:pPr>
              <w:spacing w:after="0" w:line="240" w:lineRule="auto"/>
              <w:rPr>
                <w:rFonts w:ascii="Arial" w:eastAsia="Times New Roman" w:hAnsi="Arial" w:cs="Arial"/>
                <w:color w:val="313F4B"/>
                <w:sz w:val="18"/>
                <w:szCs w:val="18"/>
                <w:lang w:val="en-US" w:eastAsia="sv-SE"/>
              </w:rPr>
            </w:pPr>
            <w:hyperlink r:id="rId10" w:tgtFrame="_blank" w:history="1">
              <w:r w:rsidRPr="00431170">
                <w:rPr>
                  <w:rFonts w:ascii="Arial" w:eastAsia="Times New Roman" w:hAnsi="Arial" w:cs="Arial"/>
                  <w:b/>
                  <w:bCs/>
                  <w:color w:val="276096"/>
                  <w:sz w:val="21"/>
                  <w:szCs w:val="21"/>
                  <w:u w:val="single"/>
                  <w:lang w:val="en-US" w:eastAsia="sv-SE"/>
                </w:rPr>
                <w:t>EU Strategy for the Danube Region adopted by the Commission!</w:t>
              </w:r>
            </w:hyperlink>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7411"/>
              <w:gridCol w:w="2145"/>
            </w:tblGrid>
            <w:tr w:rsidR="00431170" w:rsidRPr="00431170">
              <w:trPr>
                <w:tblCellSpacing w:w="15" w:type="dxa"/>
              </w:trPr>
              <w:tc>
                <w:tcPr>
                  <w:tcW w:w="0" w:type="auto"/>
                  <w:vAlign w:val="center"/>
                  <w:hideMark/>
                </w:tcPr>
                <w:p w:rsidR="00431170" w:rsidRPr="00431170" w:rsidRDefault="00431170" w:rsidP="00431170">
                  <w:pPr>
                    <w:spacing w:before="60" w:after="60" w:line="240" w:lineRule="auto"/>
                    <w:jc w:val="both"/>
                    <w:rPr>
                      <w:rFonts w:ascii="Arial" w:eastAsia="Times New Roman" w:hAnsi="Arial" w:cs="Arial"/>
                      <w:color w:val="313F4B"/>
                      <w:sz w:val="18"/>
                      <w:szCs w:val="18"/>
                      <w:lang w:val="en-US" w:eastAsia="sv-SE"/>
                    </w:rPr>
                  </w:pPr>
                  <w:r>
                    <w:rPr>
                      <w:rFonts w:ascii="Arial" w:eastAsia="Times New Roman" w:hAnsi="Arial" w:cs="Arial"/>
                      <w:noProof/>
                      <w:color w:val="313F4B"/>
                      <w:sz w:val="18"/>
                      <w:szCs w:val="18"/>
                      <w:lang w:eastAsia="sv-SE"/>
                    </w:rPr>
                    <w:drawing>
                      <wp:anchor distT="28575" distB="28575" distL="142875" distR="142875" simplePos="0" relativeHeight="251658240" behindDoc="0" locked="0" layoutInCell="1" allowOverlap="0" wp14:anchorId="4B8A7E44" wp14:editId="1B1AD63D">
                        <wp:simplePos x="0" y="0"/>
                        <wp:positionH relativeFrom="column">
                          <wp:align>left</wp:align>
                        </wp:positionH>
                        <wp:positionV relativeFrom="line">
                          <wp:posOffset>0</wp:posOffset>
                        </wp:positionV>
                        <wp:extent cx="1019175" cy="1057275"/>
                        <wp:effectExtent l="0" t="0" r="9525" b="9525"/>
                        <wp:wrapSquare wrapText="bothSides"/>
                        <wp:docPr id="34" name="Bildobjekt 34" descr="https://mail5.100procent.com/WorldClient.dll?Session=UCJINIR&amp;View=Attachment&amp;Number=186&amp;CID=14D6FFF9EED04C23A8CF7FD9165C7DE1@BrittMar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5.100procent.com/WorldClient.dll?Session=UCJINIR&amp;View=Attachment&amp;Number=186&amp;CID=14D6FFF9EED04C23A8CF7FD9165C7DE1@BrittMarda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170">
                    <w:rPr>
                      <w:rFonts w:ascii="Arial" w:eastAsia="Times New Roman" w:hAnsi="Arial" w:cs="Arial"/>
                      <w:color w:val="313F4B"/>
                      <w:sz w:val="18"/>
                      <w:szCs w:val="18"/>
                      <w:lang w:val="en-US" w:eastAsia="sv-SE"/>
                    </w:rPr>
                    <w:t>On 8 December, the Commission adopted its Communication on the EU Strategy for the Danube Region. The Council will now consider the strategy during the Hungarian EU Presidency with a view to endorsing it in June 2011.</w:t>
                  </w:r>
                </w:p>
                <w:p w:rsidR="00431170" w:rsidRPr="00431170" w:rsidRDefault="00431170" w:rsidP="00431170">
                  <w:pPr>
                    <w:spacing w:before="60" w:after="60" w:line="240" w:lineRule="auto"/>
                    <w:jc w:val="both"/>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t>More information about the Danube strategy, including the Communication and its Action Plan, can be found via the above link.</w:t>
                  </w:r>
                </w:p>
              </w:tc>
              <w:tc>
                <w:tcPr>
                  <w:tcW w:w="2100" w:type="dxa"/>
                  <w:vAlign w:val="center"/>
                  <w:hideMark/>
                </w:tcPr>
                <w:p w:rsidR="00431170" w:rsidRPr="00431170" w:rsidRDefault="00431170" w:rsidP="00431170">
                  <w:pPr>
                    <w:spacing w:after="0" w:line="240" w:lineRule="auto"/>
                    <w:jc w:val="right"/>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t> </w:t>
                  </w:r>
                </w:p>
              </w:tc>
            </w:tr>
          </w:tbl>
          <w:p w:rsidR="00431170" w:rsidRPr="00431170" w:rsidRDefault="00431170" w:rsidP="00431170">
            <w:pPr>
              <w:spacing w:after="0" w:line="240" w:lineRule="auto"/>
              <w:rPr>
                <w:rFonts w:ascii="Arial" w:eastAsia="Times New Roman" w:hAnsi="Arial" w:cs="Arial"/>
                <w:color w:val="313F4B"/>
                <w:sz w:val="18"/>
                <w:szCs w:val="18"/>
                <w:lang w:val="en-US" w:eastAsia="sv-SE"/>
              </w:rPr>
            </w:pPr>
          </w:p>
        </w:tc>
      </w:tr>
      <w:tr w:rsidR="00431170" w:rsidRPr="00431170" w:rsidTr="00431170">
        <w:trPr>
          <w:tblCellSpacing w:w="0" w:type="dxa"/>
          <w:jc w:val="center"/>
        </w:trPr>
        <w:tc>
          <w:tcPr>
            <w:tcW w:w="3726" w:type="dxa"/>
            <w:tcBorders>
              <w:left w:val="single" w:sz="6" w:space="0" w:color="85B53D"/>
            </w:tcBorders>
            <w:tcMar>
              <w:top w:w="45" w:type="dxa"/>
              <w:left w:w="375" w:type="dxa"/>
              <w:bottom w:w="0" w:type="dxa"/>
              <w:right w:w="150" w:type="dxa"/>
            </w:tcMar>
            <w:hideMark/>
          </w:tcPr>
          <w:p w:rsidR="00431170" w:rsidRPr="00431170" w:rsidRDefault="00431170" w:rsidP="00431170">
            <w:pPr>
              <w:spacing w:after="0" w:line="240" w:lineRule="auto"/>
              <w:rPr>
                <w:rFonts w:ascii="Arial" w:eastAsia="Times New Roman" w:hAnsi="Arial" w:cs="Arial"/>
                <w:color w:val="313F4B"/>
                <w:sz w:val="18"/>
                <w:szCs w:val="18"/>
                <w:lang w:eastAsia="sv-SE"/>
              </w:rPr>
            </w:pPr>
            <w:r>
              <w:rPr>
                <w:rFonts w:ascii="Arial" w:eastAsia="Times New Roman" w:hAnsi="Arial" w:cs="Arial"/>
                <w:noProof/>
                <w:color w:val="313F4B"/>
                <w:sz w:val="18"/>
                <w:szCs w:val="18"/>
                <w:lang w:eastAsia="sv-SE"/>
              </w:rPr>
              <w:drawing>
                <wp:inline distT="0" distB="0" distL="0" distR="0" wp14:anchorId="6F99AC56" wp14:editId="757558B3">
                  <wp:extent cx="114300" cy="114300"/>
                  <wp:effectExtent l="0" t="0" r="0" b="0"/>
                  <wp:docPr id="27" name="Bildobjekt 27" descr="https://mail5.100procent.com/WorldClient.dll?Session=UCJINIR&amp;View=Attachment&amp;Number=186&amp;CID=7BB7E97B1F704991AD9AE01D226057EA@BrittMar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5.100procent.com/WorldClient.dll?Session=UCJINIR&amp;View=Attachment&amp;Number=186&amp;CID=7BB7E97B1F704991AD9AE01D226057EA@BrittMard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74" w:type="dxa"/>
            <w:tcBorders>
              <w:right w:val="single" w:sz="6" w:space="0" w:color="85B53D"/>
            </w:tcBorders>
            <w:tcMar>
              <w:top w:w="0" w:type="dxa"/>
              <w:left w:w="0" w:type="dxa"/>
              <w:bottom w:w="225" w:type="dxa"/>
              <w:right w:w="0" w:type="dxa"/>
            </w:tcMar>
            <w:vAlign w:val="center"/>
            <w:hideMark/>
          </w:tcPr>
          <w:p w:rsidR="00431170" w:rsidRPr="00431170" w:rsidRDefault="00431170" w:rsidP="00431170">
            <w:pPr>
              <w:spacing w:after="0" w:line="240" w:lineRule="auto"/>
              <w:rPr>
                <w:rFonts w:ascii="Arial" w:eastAsia="Times New Roman" w:hAnsi="Arial" w:cs="Arial"/>
                <w:color w:val="313F4B"/>
                <w:sz w:val="18"/>
                <w:szCs w:val="18"/>
                <w:lang w:val="en-US" w:eastAsia="sv-SE"/>
              </w:rPr>
            </w:pPr>
            <w:hyperlink r:id="rId12" w:tgtFrame="_blank" w:history="1">
              <w:r w:rsidRPr="00431170">
                <w:rPr>
                  <w:rFonts w:ascii="Arial" w:eastAsia="Times New Roman" w:hAnsi="Arial" w:cs="Arial"/>
                  <w:b/>
                  <w:bCs/>
                  <w:color w:val="276096"/>
                  <w:sz w:val="21"/>
                  <w:szCs w:val="21"/>
                  <w:u w:val="single"/>
                  <w:lang w:val="en-US" w:eastAsia="sv-SE"/>
                </w:rPr>
                <w:t>The power of the Baltic Sea macro-region</w:t>
              </w:r>
            </w:hyperlink>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7411"/>
              <w:gridCol w:w="2145"/>
            </w:tblGrid>
            <w:tr w:rsidR="00431170" w:rsidRPr="00431170">
              <w:trPr>
                <w:tblCellSpacing w:w="15" w:type="dxa"/>
              </w:trPr>
              <w:tc>
                <w:tcPr>
                  <w:tcW w:w="0" w:type="auto"/>
                  <w:vAlign w:val="center"/>
                  <w:hideMark/>
                </w:tcPr>
                <w:p w:rsidR="00431170" w:rsidRPr="00431170" w:rsidRDefault="00431170" w:rsidP="00431170">
                  <w:pPr>
                    <w:spacing w:before="60" w:after="60" w:line="240" w:lineRule="auto"/>
                    <w:jc w:val="both"/>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t xml:space="preserve">"The power of the Baltic Sea macro-region" was the headline for the Baltic Sea Region </w:t>
                  </w:r>
                  <w:proofErr w:type="spellStart"/>
                  <w:r w:rsidRPr="00431170">
                    <w:rPr>
                      <w:rFonts w:ascii="Arial" w:eastAsia="Times New Roman" w:hAnsi="Arial" w:cs="Arial"/>
                      <w:color w:val="313F4B"/>
                      <w:sz w:val="18"/>
                      <w:szCs w:val="18"/>
                      <w:lang w:val="en-US" w:eastAsia="sv-SE"/>
                    </w:rPr>
                    <w:t>Programme</w:t>
                  </w:r>
                  <w:proofErr w:type="spellEnd"/>
                  <w:r w:rsidRPr="00431170">
                    <w:rPr>
                      <w:rFonts w:ascii="Arial" w:eastAsia="Times New Roman" w:hAnsi="Arial" w:cs="Arial"/>
                      <w:color w:val="313F4B"/>
                      <w:sz w:val="18"/>
                      <w:szCs w:val="18"/>
                      <w:lang w:val="en-US" w:eastAsia="sv-SE"/>
                    </w:rPr>
                    <w:t xml:space="preserve"> Conference in </w:t>
                  </w:r>
                  <w:proofErr w:type="spellStart"/>
                  <w:r w:rsidRPr="00431170">
                    <w:rPr>
                      <w:rFonts w:ascii="Arial" w:eastAsia="Times New Roman" w:hAnsi="Arial" w:cs="Arial"/>
                      <w:color w:val="313F4B"/>
                      <w:sz w:val="18"/>
                      <w:szCs w:val="18"/>
                      <w:lang w:val="en-US" w:eastAsia="sv-SE"/>
                    </w:rPr>
                    <w:t>Jyväskylä</w:t>
                  </w:r>
                  <w:proofErr w:type="spellEnd"/>
                  <w:r w:rsidRPr="00431170">
                    <w:rPr>
                      <w:rFonts w:ascii="Arial" w:eastAsia="Times New Roman" w:hAnsi="Arial" w:cs="Arial"/>
                      <w:color w:val="313F4B"/>
                      <w:sz w:val="18"/>
                      <w:szCs w:val="18"/>
                      <w:lang w:val="en-US" w:eastAsia="sv-SE"/>
                    </w:rPr>
                    <w:t>, Finland 30.11-1.12.2010. Almost 300 participants from all over the region had the opportunity to discuss and update their knowledge on this topic. The President of Finland, </w:t>
                  </w:r>
                  <w:proofErr w:type="spellStart"/>
                  <w:r w:rsidRPr="00431170">
                    <w:rPr>
                      <w:rFonts w:ascii="Arial" w:eastAsia="Times New Roman" w:hAnsi="Arial" w:cs="Arial"/>
                      <w:b/>
                      <w:bCs/>
                      <w:color w:val="313F4B"/>
                      <w:sz w:val="18"/>
                      <w:szCs w:val="18"/>
                      <w:lang w:val="en-US" w:eastAsia="sv-SE"/>
                    </w:rPr>
                    <w:t>Tarja</w:t>
                  </w:r>
                  <w:proofErr w:type="spellEnd"/>
                  <w:r w:rsidRPr="00431170">
                    <w:rPr>
                      <w:rFonts w:ascii="Arial" w:eastAsia="Times New Roman" w:hAnsi="Arial" w:cs="Arial"/>
                      <w:b/>
                      <w:bCs/>
                      <w:color w:val="313F4B"/>
                      <w:sz w:val="18"/>
                      <w:szCs w:val="18"/>
                      <w:lang w:val="en-US" w:eastAsia="sv-SE"/>
                    </w:rPr>
                    <w:t xml:space="preserve"> </w:t>
                  </w:r>
                  <w:proofErr w:type="spellStart"/>
                  <w:r w:rsidRPr="00431170">
                    <w:rPr>
                      <w:rFonts w:ascii="Arial" w:eastAsia="Times New Roman" w:hAnsi="Arial" w:cs="Arial"/>
                      <w:b/>
                      <w:bCs/>
                      <w:color w:val="313F4B"/>
                      <w:sz w:val="18"/>
                      <w:szCs w:val="18"/>
                      <w:lang w:val="en-US" w:eastAsia="sv-SE"/>
                    </w:rPr>
                    <w:t>Halonen</w:t>
                  </w:r>
                  <w:proofErr w:type="spellEnd"/>
                  <w:r w:rsidRPr="00431170">
                    <w:rPr>
                      <w:rFonts w:ascii="Arial" w:eastAsia="Times New Roman" w:hAnsi="Arial" w:cs="Arial"/>
                      <w:color w:val="313F4B"/>
                      <w:sz w:val="18"/>
                      <w:szCs w:val="18"/>
                      <w:lang w:val="en-US" w:eastAsia="sv-SE"/>
                    </w:rPr>
                    <w:t> stressed the importance of serious work and enhanced cooperation: "The EU Strategy for the Baltic Sea Region can help to set concrete goals in developing the region. We</w:t>
                  </w:r>
                  <w:proofErr w:type="gramStart"/>
                  <w:r w:rsidRPr="00431170">
                    <w:rPr>
                      <w:rFonts w:ascii="Arial" w:eastAsia="Times New Roman" w:hAnsi="Arial" w:cs="Arial"/>
                      <w:color w:val="313F4B"/>
                      <w:sz w:val="18"/>
                      <w:szCs w:val="18"/>
                      <w:lang w:val="en-US" w:eastAsia="sv-SE"/>
                    </w:rPr>
                    <w:t>  seek</w:t>
                  </w:r>
                  <w:proofErr w:type="gramEnd"/>
                  <w:r w:rsidRPr="00431170">
                    <w:rPr>
                      <w:rFonts w:ascii="Arial" w:eastAsia="Times New Roman" w:hAnsi="Arial" w:cs="Arial"/>
                      <w:color w:val="313F4B"/>
                      <w:sz w:val="18"/>
                      <w:szCs w:val="18"/>
                      <w:lang w:val="en-US" w:eastAsia="sv-SE"/>
                    </w:rPr>
                    <w:t xml:space="preserve"> to co-operate and to share experiences with other maritime regions". Furthermore, the Minister for Economic Affairs in Finland, </w:t>
                  </w:r>
                  <w:proofErr w:type="spellStart"/>
                  <w:r w:rsidRPr="00431170">
                    <w:rPr>
                      <w:rFonts w:ascii="Arial" w:eastAsia="Times New Roman" w:hAnsi="Arial" w:cs="Arial"/>
                      <w:b/>
                      <w:bCs/>
                      <w:color w:val="313F4B"/>
                      <w:sz w:val="18"/>
                      <w:szCs w:val="18"/>
                      <w:lang w:val="en-US" w:eastAsia="sv-SE"/>
                    </w:rPr>
                    <w:t>Mauri</w:t>
                  </w:r>
                  <w:proofErr w:type="spellEnd"/>
                  <w:r w:rsidRPr="00431170">
                    <w:rPr>
                      <w:rFonts w:ascii="Arial" w:eastAsia="Times New Roman" w:hAnsi="Arial" w:cs="Arial"/>
                      <w:b/>
                      <w:bCs/>
                      <w:color w:val="313F4B"/>
                      <w:sz w:val="18"/>
                      <w:szCs w:val="18"/>
                      <w:lang w:val="en-US" w:eastAsia="sv-SE"/>
                    </w:rPr>
                    <w:t xml:space="preserve"> </w:t>
                  </w:r>
                  <w:proofErr w:type="spellStart"/>
                  <w:r w:rsidRPr="00431170">
                    <w:rPr>
                      <w:rFonts w:ascii="Arial" w:eastAsia="Times New Roman" w:hAnsi="Arial" w:cs="Arial"/>
                      <w:b/>
                      <w:bCs/>
                      <w:color w:val="313F4B"/>
                      <w:sz w:val="18"/>
                      <w:szCs w:val="18"/>
                      <w:lang w:val="en-US" w:eastAsia="sv-SE"/>
                    </w:rPr>
                    <w:t>Pekkarinen</w:t>
                  </w:r>
                  <w:proofErr w:type="spellEnd"/>
                  <w:r w:rsidRPr="00431170">
                    <w:rPr>
                      <w:rFonts w:ascii="Arial" w:eastAsia="Times New Roman" w:hAnsi="Arial" w:cs="Arial"/>
                      <w:color w:val="313F4B"/>
                      <w:sz w:val="18"/>
                      <w:szCs w:val="18"/>
                      <w:lang w:val="en-US" w:eastAsia="sv-SE"/>
                    </w:rPr>
                    <w:t>, pointed out that many elements are best addressed in a Macro Regional context but that Member States have their responsibilities for national policies. In order to have an overall view on the macro-regional concept </w:t>
                  </w:r>
                  <w:r w:rsidRPr="00431170">
                    <w:rPr>
                      <w:rFonts w:ascii="Arial" w:eastAsia="Times New Roman" w:hAnsi="Arial" w:cs="Arial"/>
                      <w:b/>
                      <w:bCs/>
                      <w:color w:val="313F4B"/>
                      <w:sz w:val="18"/>
                      <w:szCs w:val="18"/>
                      <w:lang w:val="en-US" w:eastAsia="sv-SE"/>
                    </w:rPr>
                    <w:t>Colin Wolfe</w:t>
                  </w:r>
                  <w:r w:rsidRPr="00431170">
                    <w:rPr>
                      <w:rFonts w:ascii="Arial" w:eastAsia="Times New Roman" w:hAnsi="Arial" w:cs="Arial"/>
                      <w:color w:val="313F4B"/>
                      <w:sz w:val="18"/>
                      <w:szCs w:val="18"/>
                      <w:lang w:val="en-US" w:eastAsia="sv-SE"/>
                    </w:rPr>
                    <w:t> from DG Regional Policy reflected on the lessons learnt so far and </w:t>
                  </w:r>
                  <w:r w:rsidRPr="00431170">
                    <w:rPr>
                      <w:rFonts w:ascii="Arial" w:eastAsia="Times New Roman" w:hAnsi="Arial" w:cs="Arial"/>
                      <w:b/>
                      <w:bCs/>
                      <w:color w:val="313F4B"/>
                      <w:sz w:val="18"/>
                      <w:szCs w:val="18"/>
                      <w:lang w:val="en-US" w:eastAsia="sv-SE"/>
                    </w:rPr>
                    <w:t xml:space="preserve">Anna </w:t>
                  </w:r>
                  <w:proofErr w:type="spellStart"/>
                  <w:r w:rsidRPr="00431170">
                    <w:rPr>
                      <w:rFonts w:ascii="Arial" w:eastAsia="Times New Roman" w:hAnsi="Arial" w:cs="Arial"/>
                      <w:b/>
                      <w:bCs/>
                      <w:color w:val="313F4B"/>
                      <w:sz w:val="18"/>
                      <w:szCs w:val="18"/>
                      <w:lang w:val="en-US" w:eastAsia="sv-SE"/>
                    </w:rPr>
                    <w:t>Bérczi</w:t>
                  </w:r>
                  <w:proofErr w:type="spellEnd"/>
                  <w:r w:rsidRPr="00431170">
                    <w:rPr>
                      <w:rFonts w:ascii="Arial" w:eastAsia="Times New Roman" w:hAnsi="Arial" w:cs="Arial"/>
                      <w:color w:val="313F4B"/>
                      <w:sz w:val="18"/>
                      <w:szCs w:val="18"/>
                      <w:lang w:val="en-US" w:eastAsia="sv-SE"/>
                    </w:rPr>
                    <w:t xml:space="preserve"> from Hungary gave a presentation on the structure and development for the Danube Region Strategy. The ETC </w:t>
                  </w:r>
                  <w:proofErr w:type="spellStart"/>
                  <w:r w:rsidRPr="00431170">
                    <w:rPr>
                      <w:rFonts w:ascii="Arial" w:eastAsia="Times New Roman" w:hAnsi="Arial" w:cs="Arial"/>
                      <w:color w:val="313F4B"/>
                      <w:sz w:val="18"/>
                      <w:szCs w:val="18"/>
                      <w:lang w:val="en-US" w:eastAsia="sv-SE"/>
                    </w:rPr>
                    <w:t>programmes</w:t>
                  </w:r>
                  <w:proofErr w:type="spellEnd"/>
                  <w:r w:rsidRPr="00431170">
                    <w:rPr>
                      <w:rFonts w:ascii="Arial" w:eastAsia="Times New Roman" w:hAnsi="Arial" w:cs="Arial"/>
                      <w:color w:val="313F4B"/>
                      <w:sz w:val="18"/>
                      <w:szCs w:val="18"/>
                      <w:lang w:val="en-US" w:eastAsia="sv-SE"/>
                    </w:rPr>
                    <w:t xml:space="preserve"> have in general put focus on the development and implementation of EUSBSR. The first </w:t>
                  </w:r>
                  <w:r w:rsidRPr="00431170">
                    <w:rPr>
                      <w:rFonts w:ascii="Arial" w:eastAsia="Times New Roman" w:hAnsi="Arial" w:cs="Arial"/>
                      <w:color w:val="313F4B"/>
                      <w:sz w:val="18"/>
                      <w:szCs w:val="18"/>
                      <w:lang w:val="en-US" w:eastAsia="sv-SE"/>
                    </w:rPr>
                    <w:lastRenderedPageBreak/>
                    <w:t xml:space="preserve">macro-regional Strategy in Europe was also one of the main topics in the Annual Conference of the </w:t>
                  </w:r>
                  <w:proofErr w:type="spellStart"/>
                  <w:r w:rsidRPr="00431170">
                    <w:rPr>
                      <w:rFonts w:ascii="Arial" w:eastAsia="Times New Roman" w:hAnsi="Arial" w:cs="Arial"/>
                      <w:color w:val="313F4B"/>
                      <w:sz w:val="18"/>
                      <w:szCs w:val="18"/>
                      <w:lang w:val="en-US" w:eastAsia="sv-SE"/>
                    </w:rPr>
                    <w:t>Botnia-Atlantica</w:t>
                  </w:r>
                  <w:proofErr w:type="spellEnd"/>
                  <w:r w:rsidRPr="00431170">
                    <w:rPr>
                      <w:rFonts w:ascii="Arial" w:eastAsia="Times New Roman" w:hAnsi="Arial" w:cs="Arial"/>
                      <w:color w:val="313F4B"/>
                      <w:sz w:val="18"/>
                      <w:szCs w:val="18"/>
                      <w:lang w:val="en-US" w:eastAsia="sv-SE"/>
                    </w:rPr>
                    <w:t xml:space="preserve"> </w:t>
                  </w:r>
                  <w:proofErr w:type="spellStart"/>
                  <w:r w:rsidRPr="00431170">
                    <w:rPr>
                      <w:rFonts w:ascii="Arial" w:eastAsia="Times New Roman" w:hAnsi="Arial" w:cs="Arial"/>
                      <w:color w:val="313F4B"/>
                      <w:sz w:val="18"/>
                      <w:szCs w:val="18"/>
                      <w:lang w:val="en-US" w:eastAsia="sv-SE"/>
                    </w:rPr>
                    <w:t>Programme</w:t>
                  </w:r>
                  <w:proofErr w:type="spellEnd"/>
                  <w:r w:rsidRPr="00431170">
                    <w:rPr>
                      <w:rFonts w:ascii="Arial" w:eastAsia="Times New Roman" w:hAnsi="Arial" w:cs="Arial"/>
                      <w:color w:val="313F4B"/>
                      <w:sz w:val="18"/>
                      <w:szCs w:val="18"/>
                      <w:lang w:val="en-US" w:eastAsia="sv-SE"/>
                    </w:rPr>
                    <w:t xml:space="preserve"> in Pori, Finland on 8-9 December 2010. (Please note that President </w:t>
                  </w:r>
                  <w:proofErr w:type="spellStart"/>
                  <w:r w:rsidRPr="00431170">
                    <w:rPr>
                      <w:rFonts w:ascii="Arial" w:eastAsia="Times New Roman" w:hAnsi="Arial" w:cs="Arial"/>
                      <w:color w:val="313F4B"/>
                      <w:sz w:val="18"/>
                      <w:szCs w:val="18"/>
                      <w:lang w:val="en-US" w:eastAsia="sv-SE"/>
                    </w:rPr>
                    <w:t>Tarja</w:t>
                  </w:r>
                  <w:proofErr w:type="spellEnd"/>
                  <w:r w:rsidRPr="00431170">
                    <w:rPr>
                      <w:rFonts w:ascii="Arial" w:eastAsia="Times New Roman" w:hAnsi="Arial" w:cs="Arial"/>
                      <w:color w:val="313F4B"/>
                      <w:sz w:val="18"/>
                      <w:szCs w:val="18"/>
                      <w:lang w:val="en-US" w:eastAsia="sv-SE"/>
                    </w:rPr>
                    <w:t xml:space="preserve"> </w:t>
                  </w:r>
                  <w:proofErr w:type="spellStart"/>
                  <w:r w:rsidRPr="00431170">
                    <w:rPr>
                      <w:rFonts w:ascii="Arial" w:eastAsia="Times New Roman" w:hAnsi="Arial" w:cs="Arial"/>
                      <w:color w:val="313F4B"/>
                      <w:sz w:val="18"/>
                      <w:szCs w:val="18"/>
                      <w:lang w:val="en-US" w:eastAsia="sv-SE"/>
                    </w:rPr>
                    <w:t>Halonens</w:t>
                  </w:r>
                  <w:proofErr w:type="spellEnd"/>
                  <w:r w:rsidRPr="00431170">
                    <w:rPr>
                      <w:rFonts w:ascii="Arial" w:eastAsia="Times New Roman" w:hAnsi="Arial" w:cs="Arial"/>
                      <w:color w:val="313F4B"/>
                      <w:sz w:val="18"/>
                      <w:szCs w:val="18"/>
                      <w:lang w:val="en-US" w:eastAsia="sv-SE"/>
                    </w:rPr>
                    <w:t xml:space="preserve"> video message is available on </w:t>
                  </w:r>
                  <w:proofErr w:type="spellStart"/>
                  <w:r w:rsidRPr="00431170">
                    <w:rPr>
                      <w:rFonts w:ascii="Arial" w:eastAsia="Times New Roman" w:hAnsi="Arial" w:cs="Arial"/>
                      <w:color w:val="313F4B"/>
                      <w:sz w:val="18"/>
                      <w:szCs w:val="18"/>
                      <w:lang w:val="en-US" w:eastAsia="sv-SE"/>
                    </w:rPr>
                    <w:t>youtube</w:t>
                  </w:r>
                  <w:proofErr w:type="spellEnd"/>
                  <w:r w:rsidRPr="00431170">
                    <w:rPr>
                      <w:rFonts w:ascii="Arial" w:eastAsia="Times New Roman" w:hAnsi="Arial" w:cs="Arial"/>
                      <w:color w:val="313F4B"/>
                      <w:sz w:val="18"/>
                      <w:szCs w:val="18"/>
                      <w:lang w:val="en-US" w:eastAsia="sv-SE"/>
                    </w:rPr>
                    <w:t xml:space="preserve"> via the above link).</w:t>
                  </w:r>
                </w:p>
              </w:tc>
              <w:tc>
                <w:tcPr>
                  <w:tcW w:w="2100" w:type="dxa"/>
                  <w:vAlign w:val="center"/>
                  <w:hideMark/>
                </w:tcPr>
                <w:p w:rsidR="00431170" w:rsidRPr="00431170" w:rsidRDefault="00431170" w:rsidP="00431170">
                  <w:pPr>
                    <w:spacing w:after="0" w:line="240" w:lineRule="auto"/>
                    <w:jc w:val="right"/>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lastRenderedPageBreak/>
                    <w:t> </w:t>
                  </w:r>
                </w:p>
              </w:tc>
            </w:tr>
          </w:tbl>
          <w:p w:rsidR="00431170" w:rsidRPr="00431170" w:rsidRDefault="00431170" w:rsidP="00431170">
            <w:pPr>
              <w:spacing w:after="0" w:line="240" w:lineRule="auto"/>
              <w:rPr>
                <w:rFonts w:ascii="Arial" w:eastAsia="Times New Roman" w:hAnsi="Arial" w:cs="Arial"/>
                <w:color w:val="313F4B"/>
                <w:sz w:val="18"/>
                <w:szCs w:val="18"/>
                <w:lang w:val="en-US" w:eastAsia="sv-SE"/>
              </w:rPr>
            </w:pPr>
          </w:p>
        </w:tc>
      </w:tr>
      <w:tr w:rsidR="00431170" w:rsidRPr="00431170" w:rsidTr="00431170">
        <w:trPr>
          <w:tblCellSpacing w:w="0" w:type="dxa"/>
          <w:jc w:val="center"/>
        </w:trPr>
        <w:tc>
          <w:tcPr>
            <w:tcW w:w="3726" w:type="dxa"/>
            <w:tcBorders>
              <w:left w:val="single" w:sz="6" w:space="0" w:color="85B53D"/>
            </w:tcBorders>
            <w:tcMar>
              <w:top w:w="45" w:type="dxa"/>
              <w:left w:w="375" w:type="dxa"/>
              <w:bottom w:w="0" w:type="dxa"/>
              <w:right w:w="150" w:type="dxa"/>
            </w:tcMar>
            <w:hideMark/>
          </w:tcPr>
          <w:p w:rsidR="00431170" w:rsidRPr="00431170" w:rsidRDefault="00431170" w:rsidP="00431170">
            <w:pPr>
              <w:spacing w:after="0" w:line="240" w:lineRule="auto"/>
              <w:rPr>
                <w:rFonts w:ascii="Arial" w:eastAsia="Times New Roman" w:hAnsi="Arial" w:cs="Arial"/>
                <w:color w:val="313F4B"/>
                <w:sz w:val="18"/>
                <w:szCs w:val="18"/>
                <w:lang w:eastAsia="sv-SE"/>
              </w:rPr>
            </w:pPr>
            <w:r>
              <w:rPr>
                <w:rFonts w:ascii="Arial" w:eastAsia="Times New Roman" w:hAnsi="Arial" w:cs="Arial"/>
                <w:noProof/>
                <w:color w:val="313F4B"/>
                <w:sz w:val="18"/>
                <w:szCs w:val="18"/>
                <w:lang w:eastAsia="sv-SE"/>
              </w:rPr>
              <w:lastRenderedPageBreak/>
              <w:drawing>
                <wp:inline distT="0" distB="0" distL="0" distR="0" wp14:anchorId="31D8B5CD" wp14:editId="61C34D2A">
                  <wp:extent cx="114300" cy="114300"/>
                  <wp:effectExtent l="0" t="0" r="0" b="0"/>
                  <wp:docPr id="26" name="Bildobjekt 26" descr="https://mail5.100procent.com/WorldClient.dll?Session=UCJINIR&amp;View=Attachment&amp;Number=186&amp;CID=7BB7E97B1F704991AD9AE01D226057EA@BrittMar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5.100procent.com/WorldClient.dll?Session=UCJINIR&amp;View=Attachment&amp;Number=186&amp;CID=7BB7E97B1F704991AD9AE01D226057EA@BrittMard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74" w:type="dxa"/>
            <w:tcBorders>
              <w:right w:val="single" w:sz="6" w:space="0" w:color="85B53D"/>
            </w:tcBorders>
            <w:tcMar>
              <w:top w:w="0" w:type="dxa"/>
              <w:left w:w="0" w:type="dxa"/>
              <w:bottom w:w="225" w:type="dxa"/>
              <w:right w:w="0" w:type="dxa"/>
            </w:tcMar>
            <w:vAlign w:val="center"/>
            <w:hideMark/>
          </w:tcPr>
          <w:p w:rsidR="00431170" w:rsidRPr="00431170" w:rsidRDefault="00431170" w:rsidP="00431170">
            <w:pPr>
              <w:spacing w:after="0" w:line="240" w:lineRule="auto"/>
              <w:rPr>
                <w:rFonts w:ascii="Arial" w:eastAsia="Times New Roman" w:hAnsi="Arial" w:cs="Arial"/>
                <w:color w:val="313F4B"/>
                <w:sz w:val="18"/>
                <w:szCs w:val="18"/>
                <w:lang w:val="en-US" w:eastAsia="sv-SE"/>
              </w:rPr>
            </w:pPr>
            <w:hyperlink r:id="rId13" w:tgtFrame="_blank" w:history="1">
              <w:r w:rsidRPr="00431170">
                <w:rPr>
                  <w:rFonts w:ascii="Arial" w:eastAsia="Times New Roman" w:hAnsi="Arial" w:cs="Arial"/>
                  <w:b/>
                  <w:bCs/>
                  <w:color w:val="276096"/>
                  <w:sz w:val="21"/>
                  <w:szCs w:val="21"/>
                  <w:u w:val="single"/>
                  <w:lang w:val="en-US" w:eastAsia="sv-SE"/>
                </w:rPr>
                <w:t>Priority area in focus: To reduce nutrient inputs to the Sea to acceptable levels (PA 1)</w:t>
              </w:r>
            </w:hyperlink>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7411"/>
              <w:gridCol w:w="2145"/>
            </w:tblGrid>
            <w:tr w:rsidR="00431170" w:rsidRPr="00431170">
              <w:trPr>
                <w:tblCellSpacing w:w="15" w:type="dxa"/>
              </w:trPr>
              <w:tc>
                <w:tcPr>
                  <w:tcW w:w="0" w:type="auto"/>
                  <w:vAlign w:val="center"/>
                  <w:hideMark/>
                </w:tcPr>
                <w:p w:rsidR="00431170" w:rsidRPr="00431170" w:rsidRDefault="00431170" w:rsidP="00431170">
                  <w:pPr>
                    <w:spacing w:before="60" w:after="60" w:line="240" w:lineRule="auto"/>
                    <w:jc w:val="both"/>
                    <w:rPr>
                      <w:rFonts w:ascii="Arial" w:eastAsia="Times New Roman" w:hAnsi="Arial" w:cs="Arial"/>
                      <w:color w:val="313F4B"/>
                      <w:sz w:val="18"/>
                      <w:szCs w:val="18"/>
                      <w:lang w:val="en-US" w:eastAsia="sv-SE"/>
                    </w:rPr>
                  </w:pPr>
                  <w:r>
                    <w:rPr>
                      <w:rFonts w:ascii="Arial" w:eastAsia="Times New Roman" w:hAnsi="Arial" w:cs="Arial"/>
                      <w:noProof/>
                      <w:color w:val="313F4B"/>
                      <w:sz w:val="18"/>
                      <w:szCs w:val="18"/>
                      <w:lang w:eastAsia="sv-SE"/>
                    </w:rPr>
                    <w:drawing>
                      <wp:anchor distT="28575" distB="28575" distL="142875" distR="142875" simplePos="0" relativeHeight="251658240" behindDoc="0" locked="0" layoutInCell="1" allowOverlap="0" wp14:anchorId="1C744057" wp14:editId="32D51BA7">
                        <wp:simplePos x="0" y="0"/>
                        <wp:positionH relativeFrom="column">
                          <wp:align>left</wp:align>
                        </wp:positionH>
                        <wp:positionV relativeFrom="line">
                          <wp:posOffset>0</wp:posOffset>
                        </wp:positionV>
                        <wp:extent cx="1990725" cy="1419225"/>
                        <wp:effectExtent l="0" t="0" r="9525" b="9525"/>
                        <wp:wrapSquare wrapText="bothSides"/>
                        <wp:docPr id="33" name="Bildobjekt 33" descr="https://mail5.100procent.com/WorldClient.dll?Session=UCJINIR&amp;View=Attachment&amp;Number=186&amp;CID=C16F26E68EDD42D0873BFCD53AEC2180@BrittMar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5.100procent.com/WorldClient.dll?Session=UCJINIR&amp;View=Attachment&amp;Number=186&amp;CID=C16F26E68EDD42D0873BFCD53AEC2180@BrittMardat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170">
                    <w:rPr>
                      <w:rFonts w:ascii="Arial" w:eastAsia="Times New Roman" w:hAnsi="Arial" w:cs="Arial"/>
                      <w:color w:val="313F4B"/>
                      <w:sz w:val="18"/>
                      <w:szCs w:val="18"/>
                      <w:lang w:val="en-US" w:eastAsia="sv-SE"/>
                    </w:rPr>
                    <w:t xml:space="preserve">One of the urgent environmental challenges faced by the Baltic Sea Region is the eutrophication of the Baltic Sea. To address this complex issue, the Ministry of Environment, Finland, and the Chief Inspectorate of Environmental Protection, Poland, has joined forces to coordinate Priority Area 1 of the EUSBSR, which is aimed at reducing nutrient inputs to the Sea to acceptable levels. A main first task of the coordinators has been to secure the active involvement of stakeholders from the entire macro-region, and today they are actively networking with </w:t>
                  </w:r>
                  <w:proofErr w:type="spellStart"/>
                  <w:r w:rsidRPr="00431170">
                    <w:rPr>
                      <w:rFonts w:ascii="Arial" w:eastAsia="Times New Roman" w:hAnsi="Arial" w:cs="Arial"/>
                      <w:color w:val="313F4B"/>
                      <w:sz w:val="18"/>
                      <w:szCs w:val="18"/>
                      <w:lang w:val="en-US" w:eastAsia="sv-SE"/>
                    </w:rPr>
                    <w:t>organisations</w:t>
                  </w:r>
                  <w:proofErr w:type="spellEnd"/>
                  <w:r w:rsidRPr="00431170">
                    <w:rPr>
                      <w:rFonts w:ascii="Arial" w:eastAsia="Times New Roman" w:hAnsi="Arial" w:cs="Arial"/>
                      <w:color w:val="313F4B"/>
                      <w:sz w:val="18"/>
                      <w:szCs w:val="18"/>
                      <w:lang w:val="en-US" w:eastAsia="sv-SE"/>
                    </w:rPr>
                    <w:t xml:space="preserve"> such as HELCOM, as well as with several other Priority Areas of the Strategy. Information about the activities and results of PA 1 can be found via the above link and at the website of the </w:t>
                  </w:r>
                  <w:proofErr w:type="spellStart"/>
                  <w:r w:rsidRPr="00431170">
                    <w:rPr>
                      <w:rFonts w:ascii="Arial" w:eastAsia="Times New Roman" w:hAnsi="Arial" w:cs="Arial"/>
                      <w:color w:val="313F4B"/>
                      <w:sz w:val="18"/>
                      <w:szCs w:val="18"/>
                      <w:lang w:val="en-US" w:eastAsia="sv-SE"/>
                    </w:rPr>
                    <w:t>Voivodship</w:t>
                  </w:r>
                  <w:proofErr w:type="spellEnd"/>
                  <w:r w:rsidRPr="00431170">
                    <w:rPr>
                      <w:rFonts w:ascii="Arial" w:eastAsia="Times New Roman" w:hAnsi="Arial" w:cs="Arial"/>
                      <w:color w:val="313F4B"/>
                      <w:sz w:val="18"/>
                      <w:szCs w:val="18"/>
                      <w:lang w:val="en-US" w:eastAsia="sv-SE"/>
                    </w:rPr>
                    <w:t xml:space="preserve"> Inspectorates for Environmental Protection in Poland (</w:t>
                  </w:r>
                  <w:hyperlink r:id="rId15" w:tgtFrame="_blank" w:history="1">
                    <w:r w:rsidRPr="00431170">
                      <w:rPr>
                        <w:rFonts w:ascii="Arial" w:eastAsia="Times New Roman" w:hAnsi="Arial" w:cs="Arial"/>
                        <w:color w:val="0000FF"/>
                        <w:sz w:val="18"/>
                        <w:szCs w:val="18"/>
                        <w:u w:val="single"/>
                        <w:lang w:val="en-US" w:eastAsia="sv-SE"/>
                      </w:rPr>
                      <w:t>www.gios.gov.pl</w:t>
                    </w:r>
                  </w:hyperlink>
                  <w:r w:rsidRPr="00431170">
                    <w:rPr>
                      <w:rFonts w:ascii="Arial" w:eastAsia="Times New Roman" w:hAnsi="Arial" w:cs="Arial"/>
                      <w:color w:val="313F4B"/>
                      <w:sz w:val="18"/>
                      <w:szCs w:val="18"/>
                      <w:lang w:val="en-US" w:eastAsia="sv-SE"/>
                    </w:rPr>
                    <w:t>).</w:t>
                  </w:r>
                </w:p>
                <w:p w:rsidR="00431170" w:rsidRPr="00431170" w:rsidRDefault="00431170" w:rsidP="00431170">
                  <w:pPr>
                    <w:spacing w:before="60" w:after="60" w:line="240" w:lineRule="auto"/>
                    <w:jc w:val="both"/>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t xml:space="preserve">The PA 1 Flagship Project "Baltic Deal - Putting best agricultural </w:t>
                  </w:r>
                  <w:proofErr w:type="spellStart"/>
                  <w:r w:rsidRPr="00431170">
                    <w:rPr>
                      <w:rFonts w:ascii="Arial" w:eastAsia="Times New Roman" w:hAnsi="Arial" w:cs="Arial"/>
                      <w:color w:val="313F4B"/>
                      <w:sz w:val="18"/>
                      <w:szCs w:val="18"/>
                      <w:lang w:val="en-US" w:eastAsia="sv-SE"/>
                    </w:rPr>
                    <w:t>practises</w:t>
                  </w:r>
                  <w:proofErr w:type="spellEnd"/>
                  <w:r w:rsidRPr="00431170">
                    <w:rPr>
                      <w:rFonts w:ascii="Arial" w:eastAsia="Times New Roman" w:hAnsi="Arial" w:cs="Arial"/>
                      <w:color w:val="313F4B"/>
                      <w:sz w:val="18"/>
                      <w:szCs w:val="18"/>
                      <w:lang w:val="en-US" w:eastAsia="sv-SE"/>
                    </w:rPr>
                    <w:t xml:space="preserve"> into work" (</w:t>
                  </w:r>
                  <w:hyperlink r:id="rId16" w:tgtFrame="_blank" w:history="1">
                    <w:r w:rsidRPr="00431170">
                      <w:rPr>
                        <w:rFonts w:ascii="Arial" w:eastAsia="Times New Roman" w:hAnsi="Arial" w:cs="Arial"/>
                        <w:color w:val="0000FF"/>
                        <w:sz w:val="18"/>
                        <w:szCs w:val="18"/>
                        <w:u w:val="single"/>
                        <w:lang w:val="en-US" w:eastAsia="sv-SE"/>
                      </w:rPr>
                      <w:t>www.balticdeal.eu</w:t>
                    </w:r>
                  </w:hyperlink>
                  <w:r w:rsidRPr="00431170">
                    <w:rPr>
                      <w:rFonts w:ascii="Arial" w:eastAsia="Times New Roman" w:hAnsi="Arial" w:cs="Arial"/>
                      <w:color w:val="313F4B"/>
                      <w:sz w:val="18"/>
                      <w:szCs w:val="18"/>
                      <w:lang w:val="en-US" w:eastAsia="sv-SE"/>
                    </w:rPr>
                    <w:t xml:space="preserve">), co-financed by the BSR </w:t>
                  </w:r>
                  <w:proofErr w:type="spellStart"/>
                  <w:r w:rsidRPr="00431170">
                    <w:rPr>
                      <w:rFonts w:ascii="Arial" w:eastAsia="Times New Roman" w:hAnsi="Arial" w:cs="Arial"/>
                      <w:color w:val="313F4B"/>
                      <w:sz w:val="18"/>
                      <w:szCs w:val="18"/>
                      <w:lang w:val="en-US" w:eastAsia="sv-SE"/>
                    </w:rPr>
                    <w:t>Programme</w:t>
                  </w:r>
                  <w:proofErr w:type="spellEnd"/>
                  <w:r w:rsidRPr="00431170">
                    <w:rPr>
                      <w:rFonts w:ascii="Arial" w:eastAsia="Times New Roman" w:hAnsi="Arial" w:cs="Arial"/>
                      <w:color w:val="313F4B"/>
                      <w:sz w:val="18"/>
                      <w:szCs w:val="18"/>
                      <w:lang w:val="en-US" w:eastAsia="sv-SE"/>
                    </w:rPr>
                    <w:t xml:space="preserve"> and the NEFCO/NIB BSAP Trust Fund, is a good example of how important stakeholders engage actively in the process. Initiated by five farmer federations, the Baltic Deal project aims at further reducing agriculture’s contribution of nutrients to the Baltic Sea without impaired </w:t>
                  </w:r>
                  <w:proofErr w:type="spellStart"/>
                  <w:r w:rsidRPr="00431170">
                    <w:rPr>
                      <w:rFonts w:ascii="Arial" w:eastAsia="Times New Roman" w:hAnsi="Arial" w:cs="Arial"/>
                      <w:color w:val="313F4B"/>
                      <w:sz w:val="18"/>
                      <w:szCs w:val="18"/>
                      <w:lang w:val="en-US" w:eastAsia="sv-SE"/>
                    </w:rPr>
                    <w:t>competetiveness</w:t>
                  </w:r>
                  <w:proofErr w:type="spellEnd"/>
                  <w:r w:rsidRPr="00431170">
                    <w:rPr>
                      <w:rFonts w:ascii="Arial" w:eastAsia="Times New Roman" w:hAnsi="Arial" w:cs="Arial"/>
                      <w:color w:val="313F4B"/>
                      <w:sz w:val="18"/>
                      <w:szCs w:val="18"/>
                      <w:lang w:val="en-US" w:eastAsia="sv-SE"/>
                    </w:rPr>
                    <w:t xml:space="preserve"> or production through a focus on improved agricultural advisory services and demonstration farms. Together with around 30 associated partners, the project covers all BSR countries including Norway and Russia.</w:t>
                  </w:r>
                </w:p>
              </w:tc>
              <w:tc>
                <w:tcPr>
                  <w:tcW w:w="2100" w:type="dxa"/>
                  <w:vAlign w:val="center"/>
                  <w:hideMark/>
                </w:tcPr>
                <w:p w:rsidR="00431170" w:rsidRPr="00431170" w:rsidRDefault="00431170" w:rsidP="00431170">
                  <w:pPr>
                    <w:spacing w:after="0" w:line="240" w:lineRule="auto"/>
                    <w:jc w:val="right"/>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t> </w:t>
                  </w:r>
                </w:p>
              </w:tc>
            </w:tr>
          </w:tbl>
          <w:p w:rsidR="00431170" w:rsidRPr="00431170" w:rsidRDefault="00431170" w:rsidP="00431170">
            <w:pPr>
              <w:spacing w:after="0" w:line="240" w:lineRule="auto"/>
              <w:rPr>
                <w:rFonts w:ascii="Arial" w:eastAsia="Times New Roman" w:hAnsi="Arial" w:cs="Arial"/>
                <w:color w:val="313F4B"/>
                <w:sz w:val="18"/>
                <w:szCs w:val="18"/>
                <w:lang w:val="en-US" w:eastAsia="sv-SE"/>
              </w:rPr>
            </w:pPr>
          </w:p>
        </w:tc>
      </w:tr>
      <w:tr w:rsidR="00431170" w:rsidRPr="00431170" w:rsidTr="00431170">
        <w:trPr>
          <w:tblCellSpacing w:w="0" w:type="dxa"/>
          <w:jc w:val="center"/>
        </w:trPr>
        <w:tc>
          <w:tcPr>
            <w:tcW w:w="3726" w:type="dxa"/>
            <w:tcBorders>
              <w:left w:val="single" w:sz="6" w:space="0" w:color="85B53D"/>
            </w:tcBorders>
            <w:tcMar>
              <w:top w:w="45" w:type="dxa"/>
              <w:left w:w="375" w:type="dxa"/>
              <w:bottom w:w="0" w:type="dxa"/>
              <w:right w:w="150" w:type="dxa"/>
            </w:tcMar>
            <w:hideMark/>
          </w:tcPr>
          <w:p w:rsidR="00431170" w:rsidRPr="00431170" w:rsidRDefault="00431170" w:rsidP="00431170">
            <w:pPr>
              <w:spacing w:after="0" w:line="240" w:lineRule="auto"/>
              <w:rPr>
                <w:rFonts w:ascii="Arial" w:eastAsia="Times New Roman" w:hAnsi="Arial" w:cs="Arial"/>
                <w:color w:val="313F4B"/>
                <w:sz w:val="18"/>
                <w:szCs w:val="18"/>
                <w:lang w:eastAsia="sv-SE"/>
              </w:rPr>
            </w:pPr>
            <w:r>
              <w:rPr>
                <w:rFonts w:ascii="Arial" w:eastAsia="Times New Roman" w:hAnsi="Arial" w:cs="Arial"/>
                <w:noProof/>
                <w:color w:val="313F4B"/>
                <w:sz w:val="18"/>
                <w:szCs w:val="18"/>
                <w:lang w:eastAsia="sv-SE"/>
              </w:rPr>
              <w:drawing>
                <wp:inline distT="0" distB="0" distL="0" distR="0" wp14:anchorId="3492AB89" wp14:editId="79CB86C0">
                  <wp:extent cx="114300" cy="114300"/>
                  <wp:effectExtent l="0" t="0" r="0" b="0"/>
                  <wp:docPr id="25" name="Bildobjekt 25" descr="https://mail5.100procent.com/WorldClient.dll?Session=UCJINIR&amp;View=Attachment&amp;Number=186&amp;CID=7BB7E97B1F704991AD9AE01D226057EA@BrittMar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5.100procent.com/WorldClient.dll?Session=UCJINIR&amp;View=Attachment&amp;Number=186&amp;CID=7BB7E97B1F704991AD9AE01D226057EA@BrittMard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074" w:type="dxa"/>
            <w:tcBorders>
              <w:right w:val="single" w:sz="6" w:space="0" w:color="85B53D"/>
            </w:tcBorders>
            <w:tcMar>
              <w:top w:w="0" w:type="dxa"/>
              <w:left w:w="0" w:type="dxa"/>
              <w:bottom w:w="225" w:type="dxa"/>
              <w:right w:w="0" w:type="dxa"/>
            </w:tcMar>
            <w:vAlign w:val="center"/>
            <w:hideMark/>
          </w:tcPr>
          <w:p w:rsidR="00431170" w:rsidRPr="00431170" w:rsidRDefault="00431170" w:rsidP="00431170">
            <w:pPr>
              <w:spacing w:after="0" w:line="240" w:lineRule="auto"/>
              <w:rPr>
                <w:rFonts w:ascii="Arial" w:eastAsia="Times New Roman" w:hAnsi="Arial" w:cs="Arial"/>
                <w:color w:val="313F4B"/>
                <w:sz w:val="18"/>
                <w:szCs w:val="18"/>
                <w:lang w:eastAsia="sv-SE"/>
              </w:rPr>
            </w:pPr>
            <w:hyperlink r:id="rId17" w:tgtFrame="_blank" w:history="1">
              <w:proofErr w:type="spellStart"/>
              <w:r w:rsidRPr="00431170">
                <w:rPr>
                  <w:rFonts w:ascii="Arial" w:eastAsia="Times New Roman" w:hAnsi="Arial" w:cs="Arial"/>
                  <w:b/>
                  <w:bCs/>
                  <w:color w:val="276096"/>
                  <w:sz w:val="21"/>
                  <w:szCs w:val="21"/>
                  <w:u w:val="single"/>
                  <w:lang w:eastAsia="sv-SE"/>
                </w:rPr>
                <w:t>Technical</w:t>
              </w:r>
              <w:proofErr w:type="spellEnd"/>
              <w:r w:rsidRPr="00431170">
                <w:rPr>
                  <w:rFonts w:ascii="Arial" w:eastAsia="Times New Roman" w:hAnsi="Arial" w:cs="Arial"/>
                  <w:b/>
                  <w:bCs/>
                  <w:color w:val="276096"/>
                  <w:sz w:val="21"/>
                  <w:szCs w:val="21"/>
                  <w:u w:val="single"/>
                  <w:lang w:eastAsia="sv-SE"/>
                </w:rPr>
                <w:t xml:space="preserve"> </w:t>
              </w:r>
              <w:proofErr w:type="spellStart"/>
              <w:r w:rsidRPr="00431170">
                <w:rPr>
                  <w:rFonts w:ascii="Arial" w:eastAsia="Times New Roman" w:hAnsi="Arial" w:cs="Arial"/>
                  <w:b/>
                  <w:bCs/>
                  <w:color w:val="276096"/>
                  <w:sz w:val="21"/>
                  <w:szCs w:val="21"/>
                  <w:u w:val="single"/>
                  <w:lang w:eastAsia="sv-SE"/>
                </w:rPr>
                <w:t>amendments</w:t>
              </w:r>
              <w:proofErr w:type="spellEnd"/>
            </w:hyperlink>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7411"/>
              <w:gridCol w:w="2145"/>
            </w:tblGrid>
            <w:tr w:rsidR="00431170" w:rsidRPr="00431170">
              <w:trPr>
                <w:tblCellSpacing w:w="15" w:type="dxa"/>
              </w:trPr>
              <w:tc>
                <w:tcPr>
                  <w:tcW w:w="0" w:type="auto"/>
                  <w:vAlign w:val="center"/>
                  <w:hideMark/>
                </w:tcPr>
                <w:p w:rsidR="00431170" w:rsidRPr="00431170" w:rsidRDefault="00431170" w:rsidP="00431170">
                  <w:pPr>
                    <w:spacing w:before="60" w:after="60" w:line="240" w:lineRule="auto"/>
                    <w:jc w:val="both"/>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t>The EUSBSR newsletter now features the possibility of technical amendments: You are invited to use the new four buttons at the end of the newsletter to "share" it with your colleagues/friends, to "subscribe" or "unsubscribe", as well as to "contact" us in case of any question - we will be pleased to respond!</w:t>
                  </w:r>
                </w:p>
              </w:tc>
              <w:tc>
                <w:tcPr>
                  <w:tcW w:w="2100" w:type="dxa"/>
                  <w:vAlign w:val="center"/>
                  <w:hideMark/>
                </w:tcPr>
                <w:p w:rsidR="00431170" w:rsidRPr="00431170" w:rsidRDefault="00431170" w:rsidP="00431170">
                  <w:pPr>
                    <w:spacing w:after="0" w:line="240" w:lineRule="auto"/>
                    <w:jc w:val="right"/>
                    <w:rPr>
                      <w:rFonts w:ascii="Arial" w:eastAsia="Times New Roman" w:hAnsi="Arial" w:cs="Arial"/>
                      <w:color w:val="313F4B"/>
                      <w:sz w:val="18"/>
                      <w:szCs w:val="18"/>
                      <w:lang w:val="en-US" w:eastAsia="sv-SE"/>
                    </w:rPr>
                  </w:pPr>
                  <w:r w:rsidRPr="00431170">
                    <w:rPr>
                      <w:rFonts w:ascii="Arial" w:eastAsia="Times New Roman" w:hAnsi="Arial" w:cs="Arial"/>
                      <w:color w:val="313F4B"/>
                      <w:sz w:val="18"/>
                      <w:szCs w:val="18"/>
                      <w:lang w:val="en-US" w:eastAsia="sv-SE"/>
                    </w:rPr>
                    <w:t> </w:t>
                  </w:r>
                </w:p>
              </w:tc>
            </w:tr>
          </w:tbl>
          <w:p w:rsidR="00431170" w:rsidRPr="00431170" w:rsidRDefault="00431170" w:rsidP="00431170">
            <w:pPr>
              <w:spacing w:after="0" w:line="240" w:lineRule="auto"/>
              <w:rPr>
                <w:rFonts w:ascii="Arial" w:eastAsia="Times New Roman" w:hAnsi="Arial" w:cs="Arial"/>
                <w:color w:val="313F4B"/>
                <w:sz w:val="18"/>
                <w:szCs w:val="18"/>
                <w:lang w:val="en-US" w:eastAsia="sv-SE"/>
              </w:rPr>
            </w:pPr>
          </w:p>
        </w:tc>
      </w:tr>
    </w:tbl>
    <w:p w:rsidR="00C03AAD" w:rsidRPr="00431170" w:rsidRDefault="00C03AAD">
      <w:pPr>
        <w:rPr>
          <w:lang w:val="en-US"/>
        </w:rPr>
      </w:pPr>
      <w:bookmarkStart w:id="0" w:name="_GoBack"/>
      <w:bookmarkEnd w:id="0"/>
    </w:p>
    <w:sectPr w:rsidR="00C03AAD" w:rsidRPr="00431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70"/>
    <w:rsid w:val="00431170"/>
    <w:rsid w:val="00C03A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31170"/>
    <w:rPr>
      <w:color w:val="0000FF"/>
      <w:u w:val="single"/>
    </w:rPr>
  </w:style>
  <w:style w:type="paragraph" w:styleId="Normalwebb">
    <w:name w:val="Normal (Web)"/>
    <w:basedOn w:val="Normal"/>
    <w:uiPriority w:val="99"/>
    <w:unhideWhenUsed/>
    <w:rsid w:val="0043117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31170"/>
  </w:style>
  <w:style w:type="paragraph" w:styleId="Ballongtext">
    <w:name w:val="Balloon Text"/>
    <w:basedOn w:val="Normal"/>
    <w:link w:val="BallongtextChar"/>
    <w:uiPriority w:val="99"/>
    <w:semiHidden/>
    <w:unhideWhenUsed/>
    <w:rsid w:val="004311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1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31170"/>
    <w:rPr>
      <w:color w:val="0000FF"/>
      <w:u w:val="single"/>
    </w:rPr>
  </w:style>
  <w:style w:type="paragraph" w:styleId="Normalwebb">
    <w:name w:val="Normal (Web)"/>
    <w:basedOn w:val="Normal"/>
    <w:uiPriority w:val="99"/>
    <w:unhideWhenUsed/>
    <w:rsid w:val="0043117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31170"/>
  </w:style>
  <w:style w:type="paragraph" w:styleId="Ballongtext">
    <w:name w:val="Balloon Text"/>
    <w:basedOn w:val="Normal"/>
    <w:link w:val="BallongtextChar"/>
    <w:uiPriority w:val="99"/>
    <w:semiHidden/>
    <w:unhideWhenUsed/>
    <w:rsid w:val="0043117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1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85970">
      <w:bodyDiv w:val="1"/>
      <w:marLeft w:val="0"/>
      <w:marRight w:val="0"/>
      <w:marTop w:val="0"/>
      <w:marBottom w:val="0"/>
      <w:divBdr>
        <w:top w:val="none" w:sz="0" w:space="0" w:color="auto"/>
        <w:left w:val="none" w:sz="0" w:space="0" w:color="auto"/>
        <w:bottom w:val="none" w:sz="0" w:space="0" w:color="auto"/>
        <w:right w:val="none" w:sz="0" w:space="0" w:color="auto"/>
      </w:divBdr>
      <w:divsChild>
        <w:div w:id="346250744">
          <w:marLeft w:val="0"/>
          <w:marRight w:val="0"/>
          <w:marTop w:val="150"/>
          <w:marBottom w:val="0"/>
          <w:divBdr>
            <w:top w:val="none" w:sz="0" w:space="0" w:color="auto"/>
            <w:left w:val="none" w:sz="0" w:space="0" w:color="auto"/>
            <w:bottom w:val="none" w:sz="0" w:space="0" w:color="auto"/>
            <w:right w:val="none" w:sz="0" w:space="0" w:color="auto"/>
          </w:divBdr>
        </w:div>
      </w:divsChild>
    </w:div>
    <w:div w:id="20984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tameriportaali.fi/en/suojelu/euyhteistyo/en_GB/eunitameristrateg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nusportal.org/" TargetMode="External"/><Relationship Id="rId12" Type="http://schemas.openxmlformats.org/officeDocument/2006/relationships/hyperlink" Target="http://www.youtube.com/watch?v=46B8qCMtvr0" TargetMode="External"/><Relationship Id="rId17" Type="http://schemas.openxmlformats.org/officeDocument/2006/relationships/hyperlink" Target="http://ec.europa.eu/regional_policy/cooperation/baltic/newsletter_en.htm" TargetMode="External"/><Relationship Id="rId2" Type="http://schemas.microsoft.com/office/2007/relationships/stylesWithEffects" Target="stylesWithEffects.xml"/><Relationship Id="rId16" Type="http://schemas.openxmlformats.org/officeDocument/2006/relationships/hyperlink" Target="http://www.balticdeal.eu/" TargetMode="External"/><Relationship Id="rId1" Type="http://schemas.openxmlformats.org/officeDocument/2006/relationships/styles" Target="styles.xml"/><Relationship Id="rId6" Type="http://schemas.openxmlformats.org/officeDocument/2006/relationships/hyperlink" Target="http://ec.europa.eu/regional_policy/cooperation/baltic/index_en.htm" TargetMode="External"/><Relationship Id="rId11" Type="http://schemas.openxmlformats.org/officeDocument/2006/relationships/image" Target="media/image3.jpeg"/><Relationship Id="rId5" Type="http://schemas.openxmlformats.org/officeDocument/2006/relationships/image" Target="media/image1.gif"/><Relationship Id="rId15" Type="http://schemas.openxmlformats.org/officeDocument/2006/relationships/hyperlink" Target="http://www.gios.gov.pl/" TargetMode="External"/><Relationship Id="rId10" Type="http://schemas.openxmlformats.org/officeDocument/2006/relationships/hyperlink" Target="http://ec.europa.eu/regional_policy/cooperation/danube/index_e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baltic.net/4th_call.14056.html?" TargetMode="External"/><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1093</Words>
  <Characters>5794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Lovisa Torstensson</dc:creator>
  <cp:lastModifiedBy>Lovisa Torstensson</cp:lastModifiedBy>
  <cp:revision>1</cp:revision>
  <dcterms:created xsi:type="dcterms:W3CDTF">2011-01-03T14:43:00Z</dcterms:created>
  <dcterms:modified xsi:type="dcterms:W3CDTF">2011-01-03T14:51:00Z</dcterms:modified>
</cp:coreProperties>
</file>